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21" w:rsidRPr="00386E21" w:rsidRDefault="00386E21" w:rsidP="00386E21">
      <w:pPr>
        <w:tabs>
          <w:tab w:val="left" w:pos="4860"/>
        </w:tabs>
        <w:spacing w:after="0" w:line="240" w:lineRule="auto"/>
        <w:ind w:left="485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6E21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 ЗА УПОТРЕБА НА ЛЕКАРСТВЕНИ ПРОДУКТИ/</w:t>
      </w:r>
    </w:p>
    <w:p w:rsidR="00386E21" w:rsidRPr="00386E21" w:rsidRDefault="00386E21" w:rsidP="00386E21">
      <w:pPr>
        <w:tabs>
          <w:tab w:val="left" w:pos="4860"/>
        </w:tabs>
        <w:spacing w:after="0" w:line="240" w:lineRule="auto"/>
        <w:ind w:left="485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E21">
        <w:rPr>
          <w:rFonts w:ascii="Times New Roman" w:eastAsia="Times New Roman" w:hAnsi="Times New Roman" w:cs="Times New Roman"/>
          <w:b/>
          <w:sz w:val="24"/>
          <w:szCs w:val="24"/>
        </w:rPr>
        <w:t>ТЕХНИТЕ УПЪЛНОМОЩЕНИ ПРЕДСТАВИТЕЛИ</w:t>
      </w:r>
    </w:p>
    <w:p w:rsidR="00150817" w:rsidRDefault="00411E14" w:rsidP="00150817">
      <w:pPr>
        <w:pStyle w:val="ListParagraph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244C2">
        <w:rPr>
          <w:rFonts w:ascii="Times New Roman" w:hAnsi="Times New Roman" w:cs="Times New Roman"/>
          <w:bCs/>
          <w:sz w:val="24"/>
          <w:szCs w:val="24"/>
        </w:rPr>
        <w:tab/>
      </w:r>
    </w:p>
    <w:p w:rsidR="00411E14" w:rsidRDefault="00411E14" w:rsidP="00150817">
      <w:pPr>
        <w:pStyle w:val="ListParagraph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E21" w:rsidRPr="00386E21" w:rsidRDefault="00386E21" w:rsidP="00A31A79">
      <w:pPr>
        <w:pStyle w:val="ListParagraph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E21">
        <w:rPr>
          <w:rFonts w:ascii="Times New Roman" w:hAnsi="Times New Roman" w:cs="Times New Roman"/>
          <w:b/>
          <w:bCs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 </w:t>
      </w:r>
      <w:r w:rsidRPr="00386E21">
        <w:rPr>
          <w:rFonts w:ascii="Times New Roman" w:hAnsi="Times New Roman" w:cs="Times New Roman"/>
          <w:b/>
          <w:bCs/>
          <w:sz w:val="24"/>
          <w:szCs w:val="24"/>
        </w:rPr>
        <w:t xml:space="preserve">промени в нормативната уредба, регламентираща договаряне на отстъпки за лекарствени продукти и концепция на НЗОК за </w:t>
      </w:r>
      <w:r w:rsidRPr="00386E21">
        <w:rPr>
          <w:rFonts w:ascii="Times New Roman" w:hAnsi="Times New Roman"/>
          <w:b/>
          <w:sz w:val="24"/>
          <w:szCs w:val="24"/>
        </w:rPr>
        <w:t xml:space="preserve">механизъм, гарантиращ </w:t>
      </w:r>
      <w:proofErr w:type="spellStart"/>
      <w:r w:rsidRPr="00386E21">
        <w:rPr>
          <w:rFonts w:ascii="Times New Roman" w:hAnsi="Times New Roman"/>
          <w:b/>
          <w:sz w:val="24"/>
          <w:szCs w:val="24"/>
        </w:rPr>
        <w:t>предвидимост</w:t>
      </w:r>
      <w:proofErr w:type="spellEnd"/>
      <w:r w:rsidRPr="00386E21">
        <w:rPr>
          <w:rFonts w:ascii="Times New Roman" w:hAnsi="Times New Roman"/>
          <w:b/>
          <w:sz w:val="24"/>
          <w:szCs w:val="24"/>
        </w:rPr>
        <w:t xml:space="preserve"> и устойчивост на бюджета на НЗОК</w:t>
      </w:r>
    </w:p>
    <w:p w:rsidR="00386E21" w:rsidRDefault="00386E21" w:rsidP="00A31A79">
      <w:pPr>
        <w:pStyle w:val="ListParagraph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1A79" w:rsidRDefault="00150817" w:rsidP="00A31A79">
      <w:pPr>
        <w:pStyle w:val="ListParagraph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одобрения </w:t>
      </w:r>
      <w:r w:rsidR="002E34C3">
        <w:rPr>
          <w:rFonts w:ascii="Times New Roman" w:hAnsi="Times New Roman" w:cs="Times New Roman"/>
          <w:bCs/>
          <w:sz w:val="24"/>
          <w:szCs w:val="24"/>
        </w:rPr>
        <w:t xml:space="preserve">на 22.10.2018г.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надзорния съвет на НЗОК проект на Закон за бюджета на Националната здравноосигурителна каса за 2019г. </w:t>
      </w:r>
      <w:r w:rsidR="002E34C3">
        <w:rPr>
          <w:rFonts w:ascii="Times New Roman" w:hAnsi="Times New Roman" w:cs="Times New Roman"/>
          <w:bCs/>
          <w:sz w:val="24"/>
          <w:szCs w:val="24"/>
        </w:rPr>
        <w:t>са предложени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съответни промени в Закона за здравното осигуряване</w:t>
      </w:r>
      <w:r w:rsidR="00756E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E6C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756E6C">
        <w:rPr>
          <w:rFonts w:ascii="Times New Roman" w:hAnsi="Times New Roman" w:cs="Times New Roman"/>
          <w:bCs/>
          <w:sz w:val="24"/>
          <w:szCs w:val="24"/>
        </w:rPr>
        <w:t>ЗЗО</w:t>
      </w:r>
      <w:r w:rsidR="00756E6C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в т.ч. и в частта, регламентираща провеждане на задължително централизирано договаряне на отстъпки за лекарствените продукти, заплащани напълно или частично от НЗОК. </w:t>
      </w:r>
      <w:r w:rsidR="00756E6C">
        <w:rPr>
          <w:rFonts w:ascii="Times New Roman" w:hAnsi="Times New Roman" w:cs="Times New Roman"/>
          <w:bCs/>
          <w:sz w:val="24"/>
          <w:szCs w:val="24"/>
        </w:rPr>
        <w:t>Като обект на задължително централизирано договаряне на отстъпки отпадат генеричните лекарствени продукти по смисъла на ЗЛПХМ, както и лекарствените продукти по чл.29 от ЗЛПХМ, при които при определяне на стойността не участват лекарствени продукти на други ПРУ.</w:t>
      </w:r>
    </w:p>
    <w:p w:rsidR="00150817" w:rsidRPr="00A31A79" w:rsidRDefault="00A31A79" w:rsidP="00A31A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DB31A5" w:rsidRPr="00A31A79">
        <w:rPr>
          <w:rFonts w:ascii="Times New Roman" w:hAnsi="Times New Roman" w:cs="Times New Roman"/>
          <w:bCs/>
          <w:sz w:val="24"/>
          <w:szCs w:val="24"/>
        </w:rPr>
        <w:t xml:space="preserve">наредбата по чл.45, ал.9 от ЗЗО </w:t>
      </w:r>
      <w:r w:rsidR="00DB31A5" w:rsidRPr="00A31A7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48073D" w:rsidRPr="00A31A79">
        <w:rPr>
          <w:rFonts w:ascii="Times New Roman" w:hAnsi="Times New Roman" w:cs="Times New Roman"/>
          <w:bCs/>
          <w:i/>
          <w:sz w:val="24"/>
          <w:szCs w:val="24"/>
        </w:rPr>
        <w:t>Наредба</w:t>
      </w:r>
      <w:r w:rsidR="0048073D" w:rsidRPr="00A31A79">
        <w:rPr>
          <w:rFonts w:ascii="Times New Roman" w:hAnsi="Times New Roman" w:cs="Times New Roman"/>
          <w:bCs/>
          <w:i/>
          <w:sz w:val="24"/>
          <w:szCs w:val="24"/>
          <w:lang w:val="x-none"/>
        </w:rPr>
        <w:t xml:space="preserve"> № 10 от 24.03.2009 г. за условията и реда за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както и на лекарствени продукти за здравни дейности по чл. 82, ал. 2, т. 3 от Закона за здравето</w:t>
      </w:r>
      <w:r w:rsidR="00DB31A5" w:rsidRPr="00A31A79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DB31A5" w:rsidRPr="00A31A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4C2" w:rsidRPr="00A31A7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4244C2" w:rsidRPr="00A31A79">
        <w:rPr>
          <w:rFonts w:ascii="Times New Roman" w:hAnsi="Times New Roman" w:cs="Times New Roman"/>
          <w:bCs/>
          <w:sz w:val="24"/>
          <w:szCs w:val="24"/>
        </w:rPr>
        <w:t>Наредба №10</w:t>
      </w:r>
      <w:r w:rsidR="004244C2" w:rsidRPr="00A31A79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4244C2" w:rsidRPr="00A31A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E6C">
        <w:rPr>
          <w:rFonts w:ascii="Times New Roman" w:hAnsi="Times New Roman" w:cs="Times New Roman"/>
          <w:bCs/>
          <w:sz w:val="24"/>
          <w:szCs w:val="24"/>
        </w:rPr>
        <w:t>се предвижда</w:t>
      </w:r>
      <w:r w:rsidR="0000639F" w:rsidRPr="00A31A79">
        <w:rPr>
          <w:rFonts w:ascii="Times New Roman" w:hAnsi="Times New Roman" w:cs="Times New Roman"/>
          <w:bCs/>
          <w:sz w:val="24"/>
          <w:szCs w:val="24"/>
        </w:rPr>
        <w:t xml:space="preserve"> да се</w:t>
      </w:r>
      <w:r w:rsidR="00DB31A5" w:rsidRPr="00A31A79">
        <w:rPr>
          <w:rFonts w:ascii="Times New Roman" w:hAnsi="Times New Roman" w:cs="Times New Roman"/>
          <w:bCs/>
          <w:sz w:val="24"/>
          <w:szCs w:val="24"/>
        </w:rPr>
        <w:t xml:space="preserve"> регламентират</w:t>
      </w:r>
      <w:r w:rsidR="0000639F" w:rsidRPr="00A31A79">
        <w:rPr>
          <w:rFonts w:ascii="Times New Roman" w:hAnsi="Times New Roman" w:cs="Times New Roman"/>
          <w:bCs/>
          <w:sz w:val="24"/>
          <w:szCs w:val="24"/>
        </w:rPr>
        <w:t>:</w:t>
      </w:r>
      <w:r w:rsidR="00150817" w:rsidRPr="00A31A7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0817" w:rsidRPr="003B2F7E" w:rsidRDefault="00756E6C" w:rsidP="001508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групите</w:t>
      </w:r>
      <w:r w:rsidR="00150817" w:rsidRPr="003B2F7E">
        <w:rPr>
          <w:rFonts w:ascii="Times New Roman" w:hAnsi="Times New Roman"/>
          <w:sz w:val="24"/>
          <w:szCs w:val="24"/>
        </w:rPr>
        <w:t xml:space="preserve"> лекарствени продукти и съответните им видове отстъпки;</w:t>
      </w:r>
    </w:p>
    <w:p w:rsidR="00150817" w:rsidRPr="003B2F7E" w:rsidRDefault="00150817" w:rsidP="001508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F7E">
        <w:rPr>
          <w:rFonts w:ascii="Times New Roman" w:hAnsi="Times New Roman"/>
          <w:sz w:val="24"/>
          <w:szCs w:val="24"/>
        </w:rPr>
        <w:t>условията и редът за тяхното договаряне и заплащане;</w:t>
      </w:r>
    </w:p>
    <w:p w:rsidR="00150817" w:rsidRPr="00E6710F" w:rsidRDefault="00150817" w:rsidP="0000639F">
      <w:pPr>
        <w:pStyle w:val="ListParagraph"/>
        <w:numPr>
          <w:ilvl w:val="0"/>
          <w:numId w:val="2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F7E">
        <w:rPr>
          <w:rFonts w:ascii="Times New Roman" w:hAnsi="Times New Roman"/>
          <w:sz w:val="24"/>
          <w:szCs w:val="24"/>
        </w:rPr>
        <w:t xml:space="preserve">механизми, гарантиращи </w:t>
      </w:r>
      <w:proofErr w:type="spellStart"/>
      <w:r w:rsidRPr="003B2F7E">
        <w:rPr>
          <w:rFonts w:ascii="Times New Roman" w:hAnsi="Times New Roman"/>
          <w:sz w:val="24"/>
          <w:szCs w:val="24"/>
        </w:rPr>
        <w:t>предвидимост</w:t>
      </w:r>
      <w:proofErr w:type="spellEnd"/>
      <w:r w:rsidRPr="003B2F7E">
        <w:rPr>
          <w:rFonts w:ascii="Times New Roman" w:hAnsi="Times New Roman"/>
          <w:sz w:val="24"/>
          <w:szCs w:val="24"/>
        </w:rPr>
        <w:t xml:space="preserve"> и</w:t>
      </w:r>
      <w:r w:rsidR="0000639F">
        <w:rPr>
          <w:rFonts w:ascii="Times New Roman" w:hAnsi="Times New Roman"/>
          <w:sz w:val="24"/>
          <w:szCs w:val="24"/>
        </w:rPr>
        <w:t xml:space="preserve"> устойчивост на бюджета на НЗОК;</w:t>
      </w:r>
    </w:p>
    <w:p w:rsidR="00150817" w:rsidRDefault="00944D4B" w:rsidP="001508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законопроекта е залегнала</w:t>
      </w:r>
      <w:r w:rsidR="00150817" w:rsidRPr="00E671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A7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150817" w:rsidRPr="00E6710F">
        <w:rPr>
          <w:rFonts w:ascii="Times New Roman" w:hAnsi="Times New Roman" w:cs="Times New Roman"/>
          <w:bCs/>
          <w:sz w:val="24"/>
          <w:szCs w:val="24"/>
        </w:rPr>
        <w:t xml:space="preserve">правна възможност </w:t>
      </w:r>
      <w:r w:rsidR="00150817" w:rsidRPr="00E6710F">
        <w:rPr>
          <w:rFonts w:ascii="Times New Roman" w:hAnsi="Times New Roman"/>
          <w:sz w:val="24"/>
          <w:szCs w:val="24"/>
        </w:rPr>
        <w:t xml:space="preserve">Националната здравноосигурителна каса да </w:t>
      </w:r>
      <w:r>
        <w:rPr>
          <w:rFonts w:ascii="Times New Roman" w:hAnsi="Times New Roman"/>
          <w:sz w:val="24"/>
          <w:szCs w:val="24"/>
        </w:rPr>
        <w:t>договаря</w:t>
      </w:r>
      <w:r w:rsidR="00150817" w:rsidRPr="00E6710F">
        <w:rPr>
          <w:rFonts w:ascii="Times New Roman" w:hAnsi="Times New Roman"/>
          <w:sz w:val="24"/>
          <w:szCs w:val="24"/>
        </w:rPr>
        <w:t xml:space="preserve"> с притежателите на разрешения за употреба заплащане след отчитане на резултата от терапията за лекарствените продукти, за които е определено проследяване ефекта</w:t>
      </w:r>
      <w:r w:rsidR="00AF5F85">
        <w:rPr>
          <w:rFonts w:ascii="Times New Roman" w:hAnsi="Times New Roman"/>
          <w:sz w:val="24"/>
          <w:szCs w:val="24"/>
        </w:rPr>
        <w:t xml:space="preserve"> от терапията съгласно чл. 259,ал.</w:t>
      </w:r>
      <w:r w:rsidR="00150817" w:rsidRPr="00E6710F">
        <w:rPr>
          <w:rFonts w:ascii="Times New Roman" w:hAnsi="Times New Roman"/>
          <w:sz w:val="24"/>
          <w:szCs w:val="24"/>
        </w:rPr>
        <w:t xml:space="preserve"> 1, </w:t>
      </w:r>
      <w:r w:rsidR="0000639F">
        <w:rPr>
          <w:rFonts w:ascii="Times New Roman" w:hAnsi="Times New Roman"/>
          <w:sz w:val="24"/>
          <w:szCs w:val="24"/>
        </w:rPr>
        <w:t>т. 10 от ЗЛПХМ.</w:t>
      </w:r>
    </w:p>
    <w:p w:rsidR="00756E6C" w:rsidRDefault="00756E6C" w:rsidP="001508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 връзка с предстоящите промени в ЗЗО, следва да се предвидят и съответни промени в Наредба №10. Националната здравноосигурителна каса е в процес на изготвяне на проект на Наредба за изменение и допълнение на Наредба №10</w:t>
      </w:r>
      <w:r w:rsidR="00820C02">
        <w:rPr>
          <w:rFonts w:ascii="Times New Roman" w:hAnsi="Times New Roman"/>
          <w:sz w:val="24"/>
          <w:szCs w:val="24"/>
        </w:rPr>
        <w:t>, като промените се очаква да бъдат</w:t>
      </w:r>
      <w:r>
        <w:rPr>
          <w:rFonts w:ascii="Times New Roman" w:hAnsi="Times New Roman"/>
          <w:sz w:val="24"/>
          <w:szCs w:val="24"/>
        </w:rPr>
        <w:t xml:space="preserve"> в следните насоки:</w:t>
      </w:r>
    </w:p>
    <w:p w:rsidR="00756E6C" w:rsidRPr="00756E6C" w:rsidRDefault="00756E6C" w:rsidP="00756E6C">
      <w:pPr>
        <w:pStyle w:val="ListParagraph"/>
        <w:numPr>
          <w:ilvl w:val="0"/>
          <w:numId w:val="4"/>
        </w:numPr>
        <w:spacing w:after="0" w:line="240" w:lineRule="auto"/>
        <w:ind w:left="0" w:firstLine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Прецизиране на групите лекарствените продукти, за които се договарят задължителни отстъпки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 xml:space="preserve">отпадане като обект на задължително централизирано договаряне на </w:t>
      </w:r>
      <w:r>
        <w:rPr>
          <w:rFonts w:ascii="Times New Roman" w:hAnsi="Times New Roman" w:cs="Times New Roman"/>
          <w:bCs/>
          <w:sz w:val="24"/>
          <w:szCs w:val="24"/>
        </w:rPr>
        <w:t>генеричните лекарствени продукти по смисъла на ЗЛПХМ, както и лекарствените продукти по чл.29 от ЗЛПХМ, при които при определяне на стойността не участват лекарствени продукти на други ПРУ</w:t>
      </w:r>
      <w:r w:rsidR="00FB1A7E">
        <w:rPr>
          <w:rFonts w:ascii="Times New Roman" w:hAnsi="Times New Roman" w:cs="Times New Roman"/>
          <w:bCs/>
          <w:sz w:val="24"/>
          <w:szCs w:val="24"/>
        </w:rPr>
        <w:t>; добавяне като</w:t>
      </w:r>
      <w:r w:rsidR="00FB1A7E" w:rsidRPr="00FB1A7E">
        <w:rPr>
          <w:rFonts w:ascii="Times New Roman" w:hAnsi="Times New Roman"/>
          <w:sz w:val="24"/>
          <w:szCs w:val="24"/>
        </w:rPr>
        <w:t xml:space="preserve"> </w:t>
      </w:r>
      <w:r w:rsidR="00FB1A7E">
        <w:rPr>
          <w:rFonts w:ascii="Times New Roman" w:hAnsi="Times New Roman"/>
          <w:sz w:val="24"/>
          <w:szCs w:val="24"/>
        </w:rPr>
        <w:t xml:space="preserve">обект на задължително централизирано договаряне на </w:t>
      </w:r>
      <w:r w:rsidR="00FB1A7E">
        <w:rPr>
          <w:rFonts w:ascii="Times New Roman" w:hAnsi="Times New Roman" w:cs="Times New Roman"/>
          <w:bCs/>
          <w:sz w:val="24"/>
          <w:szCs w:val="24"/>
        </w:rPr>
        <w:t xml:space="preserve">лекарствените продукти при </w:t>
      </w:r>
      <w:proofErr w:type="spellStart"/>
      <w:r w:rsidR="00FB1A7E">
        <w:rPr>
          <w:rFonts w:ascii="Times New Roman" w:hAnsi="Times New Roman" w:cs="Times New Roman"/>
          <w:bCs/>
          <w:sz w:val="24"/>
          <w:szCs w:val="24"/>
        </w:rPr>
        <w:t>животозастрашаващи</w:t>
      </w:r>
      <w:proofErr w:type="spellEnd"/>
      <w:r w:rsidR="00FB1A7E">
        <w:rPr>
          <w:rFonts w:ascii="Times New Roman" w:hAnsi="Times New Roman" w:cs="Times New Roman"/>
          <w:bCs/>
          <w:sz w:val="24"/>
          <w:szCs w:val="24"/>
        </w:rPr>
        <w:t xml:space="preserve"> кръвоизливи и спешни оперативни и инвазивни интервенции при пациенти с вродени коагулопатии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652884" w:rsidRDefault="00820C02" w:rsidP="00756E6C">
      <w:pPr>
        <w:pStyle w:val="ListParagraph"/>
        <w:numPr>
          <w:ilvl w:val="0"/>
          <w:numId w:val="4"/>
        </w:numPr>
        <w:spacing w:after="0" w:line="240" w:lineRule="auto"/>
        <w:ind w:left="0" w:firstLine="106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="00652884">
        <w:rPr>
          <w:rFonts w:ascii="Times New Roman" w:hAnsi="Times New Roman"/>
          <w:sz w:val="24"/>
          <w:szCs w:val="24"/>
        </w:rPr>
        <w:t xml:space="preserve">тпадане на отстъпката по чл.21, ал.1, т.1, буква „б“ от Наредба №10, която е </w:t>
      </w:r>
      <w:proofErr w:type="spellStart"/>
      <w:r w:rsidR="00652884">
        <w:rPr>
          <w:rFonts w:ascii="Times New Roman" w:hAnsi="Times New Roman"/>
          <w:sz w:val="24"/>
          <w:szCs w:val="24"/>
        </w:rPr>
        <w:t>относима</w:t>
      </w:r>
      <w:proofErr w:type="spellEnd"/>
      <w:r w:rsidR="00652884">
        <w:rPr>
          <w:rFonts w:ascii="Times New Roman" w:hAnsi="Times New Roman"/>
          <w:sz w:val="24"/>
          <w:szCs w:val="24"/>
        </w:rPr>
        <w:t xml:space="preserve"> за лекарствените продукти с ново международно непатентно наименование, и</w:t>
      </w:r>
      <w:r w:rsidR="009613EE">
        <w:rPr>
          <w:rFonts w:ascii="Times New Roman" w:hAnsi="Times New Roman"/>
          <w:sz w:val="24"/>
          <w:szCs w:val="24"/>
        </w:rPr>
        <w:t xml:space="preserve"> е приложима за тригодишен период от включването им в ПЛС и заплащането им от НЗОК </w:t>
      </w:r>
      <w:r w:rsidR="00D526AC">
        <w:rPr>
          <w:rFonts w:ascii="Times New Roman" w:hAnsi="Times New Roman"/>
          <w:sz w:val="24"/>
          <w:szCs w:val="24"/>
          <w:lang w:val="en-US"/>
        </w:rPr>
        <w:t>(</w:t>
      </w:r>
      <w:r w:rsidR="009613EE">
        <w:rPr>
          <w:rFonts w:ascii="Times New Roman" w:hAnsi="Times New Roman"/>
          <w:sz w:val="24"/>
          <w:szCs w:val="24"/>
        </w:rPr>
        <w:t>при надвишаване на договорените годишни прогнозни нетни разходи</w:t>
      </w:r>
      <w:r w:rsidR="00D526AC">
        <w:rPr>
          <w:rFonts w:ascii="Times New Roman" w:hAnsi="Times New Roman"/>
          <w:sz w:val="24"/>
          <w:szCs w:val="24"/>
          <w:lang w:val="en-US"/>
        </w:rPr>
        <w:t xml:space="preserve">) – </w:t>
      </w:r>
      <w:r w:rsidR="00D526AC">
        <w:rPr>
          <w:rFonts w:ascii="Times New Roman" w:hAnsi="Times New Roman"/>
          <w:sz w:val="24"/>
          <w:szCs w:val="24"/>
        </w:rPr>
        <w:t>поради предвиждане на друг компенсаторен механизъм;</w:t>
      </w:r>
      <w:r w:rsidR="009613E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613EE" w:rsidRDefault="00BD4021" w:rsidP="00D526AC">
      <w:pPr>
        <w:pStyle w:val="ListParagraph"/>
        <w:numPr>
          <w:ilvl w:val="0"/>
          <w:numId w:val="4"/>
        </w:numPr>
        <w:spacing w:after="0" w:line="240" w:lineRule="auto"/>
        <w:ind w:left="0" w:firstLine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Отпадане</w:t>
      </w:r>
      <w:r w:rsidR="009613EE">
        <w:rPr>
          <w:rFonts w:ascii="Times New Roman" w:hAnsi="Times New Roman"/>
          <w:sz w:val="24"/>
          <w:szCs w:val="24"/>
        </w:rPr>
        <w:t xml:space="preserve"> на отстъпката по чл.21, ал.6 от Наредба №10</w:t>
      </w:r>
      <w:r w:rsidR="00D526AC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D526AC">
        <w:rPr>
          <w:rFonts w:ascii="Times New Roman" w:hAnsi="Times New Roman"/>
          <w:sz w:val="24"/>
          <w:szCs w:val="24"/>
        </w:rPr>
        <w:t>поради предвиждане на друг компенсаторен механизъм;</w:t>
      </w:r>
      <w:r>
        <w:rPr>
          <w:rFonts w:ascii="Times New Roman" w:hAnsi="Times New Roman"/>
          <w:sz w:val="24"/>
          <w:szCs w:val="24"/>
        </w:rPr>
        <w:t>;</w:t>
      </w:r>
    </w:p>
    <w:p w:rsidR="006E1CD2" w:rsidRPr="00BD4021" w:rsidRDefault="00BD4021" w:rsidP="00BD4021">
      <w:pPr>
        <w:pStyle w:val="ListParagraph"/>
        <w:numPr>
          <w:ilvl w:val="0"/>
          <w:numId w:val="4"/>
        </w:numPr>
        <w:spacing w:after="0" w:line="240" w:lineRule="auto"/>
        <w:ind w:left="0" w:firstLine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Регламентиране на </w:t>
      </w:r>
      <w:r w:rsidR="00E27E80" w:rsidRPr="00BD4021">
        <w:rPr>
          <w:rFonts w:ascii="Times New Roman" w:hAnsi="Times New Roman"/>
          <w:sz w:val="24"/>
          <w:szCs w:val="24"/>
        </w:rPr>
        <w:t xml:space="preserve">механизъм, гарантиращ </w:t>
      </w:r>
      <w:proofErr w:type="spellStart"/>
      <w:r w:rsidR="00E27E80" w:rsidRPr="00BD4021">
        <w:rPr>
          <w:rFonts w:ascii="Times New Roman" w:hAnsi="Times New Roman"/>
          <w:sz w:val="24"/>
          <w:szCs w:val="24"/>
        </w:rPr>
        <w:t>предвидимост</w:t>
      </w:r>
      <w:proofErr w:type="spellEnd"/>
      <w:r w:rsidR="00E27E80" w:rsidRPr="00BD4021">
        <w:rPr>
          <w:rFonts w:ascii="Times New Roman" w:hAnsi="Times New Roman"/>
          <w:sz w:val="24"/>
          <w:szCs w:val="24"/>
        </w:rPr>
        <w:t xml:space="preserve"> и устойчивост на бюджета на НЗОК, </w:t>
      </w:r>
      <w:r w:rsidR="00DE47EB" w:rsidRPr="00BD4021">
        <w:rPr>
          <w:rFonts w:ascii="Times New Roman" w:hAnsi="Times New Roman"/>
          <w:sz w:val="24"/>
          <w:szCs w:val="24"/>
        </w:rPr>
        <w:t xml:space="preserve">прилаган </w:t>
      </w:r>
      <w:r w:rsidR="00E27E80" w:rsidRPr="00BD4021">
        <w:rPr>
          <w:rFonts w:ascii="Times New Roman" w:hAnsi="Times New Roman"/>
          <w:sz w:val="24"/>
          <w:szCs w:val="24"/>
        </w:rPr>
        <w:t>при наличие на определени условия.</w:t>
      </w:r>
      <w:r w:rsidR="00C71AF6" w:rsidRPr="00BD4021">
        <w:rPr>
          <w:rFonts w:ascii="Times New Roman" w:hAnsi="Times New Roman"/>
          <w:sz w:val="24"/>
          <w:szCs w:val="24"/>
        </w:rPr>
        <w:t xml:space="preserve"> </w:t>
      </w:r>
      <w:r w:rsidR="008D4E02" w:rsidRPr="00BD4021">
        <w:rPr>
          <w:rFonts w:ascii="Times New Roman" w:hAnsi="Times New Roman"/>
          <w:sz w:val="24"/>
          <w:szCs w:val="24"/>
        </w:rPr>
        <w:t xml:space="preserve">Механизмът по същество е дългосрочна мярка </w:t>
      </w:r>
      <w:r w:rsidR="00150817" w:rsidRPr="00BD402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 контрол на разходите на НЗОК </w:t>
      </w:r>
      <w:r w:rsidR="004C595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 спазване на бюджетната рамка, установена в закона за бюджета на НЗОК за съответната година, </w:t>
      </w:r>
      <w:r w:rsid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</w:t>
      </w:r>
      <w:r w:rsidR="00150817" w:rsidRPr="00BD402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8D4E02" w:rsidRPr="00BD402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трите основни групи лекарствени продукти </w:t>
      </w:r>
      <w:r w:rsidR="008D4E02" w:rsidRPr="00BD40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8D4E02" w:rsidRPr="00BD402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обособени като такива и в проекта на Закона за бюджета на НЗОК за 2019г.</w:t>
      </w:r>
      <w:r w:rsidR="008D4E02" w:rsidRPr="00BD40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6E1CD2" w:rsidRPr="00BD402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:rsidR="006E1CD2" w:rsidRDefault="006E1CD2" w:rsidP="00C71A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1.</w:t>
      </w:r>
      <w:r w:rsidR="008D4E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лекарствените продукти за домашно лечение</w:t>
      </w:r>
      <w:r w:rsidR="008D4E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назначавани с протокол, за които се извършва експертиза; </w:t>
      </w:r>
    </w:p>
    <w:p w:rsidR="006E1CD2" w:rsidRDefault="006E1CD2" w:rsidP="00C71A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2. </w:t>
      </w:r>
      <w:r w:rsidR="008D4E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лекарствените продукти за домашно лечение,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извън тези по т.1;</w:t>
      </w:r>
    </w:p>
    <w:p w:rsidR="006E1CD2" w:rsidRDefault="006E1CD2" w:rsidP="00C71AF6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3. </w:t>
      </w:r>
      <w:r w:rsidR="008D4E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лекарствените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8D4E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продукти</w:t>
      </w:r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включени в пакета, гарантиран от бюджета на НЗОК, предназначени за лечение на злокачествени заболявания, заплащани в болничната медицинска помощ извън стойността на оказаните медицински услуги.</w:t>
      </w:r>
      <w:r w:rsidR="00150817" w:rsidRPr="00150817">
        <w:rPr>
          <w:rFonts w:ascii="Calibri" w:eastAsia="Calibri" w:hAnsi="Calibri" w:cs="Times New Roman"/>
        </w:rPr>
        <w:t xml:space="preserve"> </w:t>
      </w:r>
    </w:p>
    <w:p w:rsidR="00AA66F4" w:rsidRDefault="004C595C" w:rsidP="00AA66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Персонален обхват</w:t>
      </w:r>
      <w:r w:rsid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</w:t>
      </w:r>
      <w:r w:rsidR="00FB70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</w:t>
      </w:r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еханизмът </w:t>
      </w:r>
      <w:r w:rsidR="00FB70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ще е приложим</w:t>
      </w:r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спрямо</w:t>
      </w:r>
      <w:proofErr w:type="spellEnd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всички</w:t>
      </w:r>
      <w:proofErr w:type="spellEnd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притежатели</w:t>
      </w:r>
      <w:proofErr w:type="spellEnd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разрешения</w:t>
      </w:r>
      <w:proofErr w:type="spellEnd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за</w:t>
      </w:r>
      <w:proofErr w:type="spellEnd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употреба</w:t>
      </w:r>
      <w:proofErr w:type="spellEnd"/>
      <w:r w:rsidR="00150817" w:rsidRPr="00150817">
        <w:rPr>
          <w:rFonts w:ascii="Calibri" w:eastAsia="Calibri" w:hAnsi="Calibri" w:cs="Times New Roman"/>
        </w:rPr>
        <w:t xml:space="preserve"> </w:t>
      </w:r>
      <w:proofErr w:type="spellStart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лекарствени</w:t>
      </w:r>
      <w:proofErr w:type="spellEnd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продукти</w:t>
      </w:r>
      <w:proofErr w:type="spellEnd"/>
      <w:r w:rsidR="00150817" w:rsidRPr="001508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заплащани напълно или частично от НЗОК, при </w:t>
      </w:r>
      <w:r w:rsidR="00FB70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наличие на </w:t>
      </w:r>
      <w:r w:rsid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условията, предвидени в </w:t>
      </w:r>
      <w:r w:rsidR="00FB70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същия, които ще бъдат регламентирани в </w:t>
      </w:r>
      <w:r w:rsid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Наредба №10.</w:t>
      </w:r>
    </w:p>
    <w:p w:rsidR="004C595C" w:rsidRPr="00AA66F4" w:rsidRDefault="004C595C" w:rsidP="00AA66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Материален обхват –</w:t>
      </w:r>
      <w:r w:rsidR="00FB70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механизмът </w:t>
      </w:r>
      <w:r w:rsidR="00FB70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ще е приложим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 всички лекарствени продукти</w:t>
      </w:r>
      <w:r w:rsidR="00FB70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заплащани напълно или частично от НЗОК, при наличие на условията, предвидени в същия, които ще бъдат регламентирани в Наредба №10.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B70A1" w:rsidRDefault="00FB70A1" w:rsidP="00C71A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244C2" w:rsidRDefault="002E34C3" w:rsidP="00C71A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С оглед на гореизложеното, представяме</w:t>
      </w:r>
      <w:r w:rsidR="00FB70A1">
        <w:rPr>
          <w:rFonts w:ascii="Times New Roman" w:hAnsi="Times New Roman"/>
          <w:sz w:val="24"/>
          <w:szCs w:val="24"/>
        </w:rPr>
        <w:t xml:space="preserve"> </w:t>
      </w:r>
      <w:r w:rsidR="00A15163">
        <w:rPr>
          <w:rFonts w:ascii="Times New Roman" w:hAnsi="Times New Roman"/>
          <w:sz w:val="24"/>
          <w:szCs w:val="24"/>
        </w:rPr>
        <w:t xml:space="preserve">концепцията на НЗОК за </w:t>
      </w:r>
      <w:r w:rsidR="00FB70A1">
        <w:rPr>
          <w:rFonts w:ascii="Times New Roman" w:hAnsi="Times New Roman"/>
          <w:sz w:val="24"/>
          <w:szCs w:val="24"/>
        </w:rPr>
        <w:t>механиз</w:t>
      </w:r>
      <w:r>
        <w:rPr>
          <w:rFonts w:ascii="Times New Roman" w:hAnsi="Times New Roman"/>
          <w:sz w:val="24"/>
          <w:szCs w:val="24"/>
        </w:rPr>
        <w:t>ъ</w:t>
      </w:r>
      <w:r w:rsidR="00FB70A1">
        <w:rPr>
          <w:rFonts w:ascii="Times New Roman" w:hAnsi="Times New Roman"/>
          <w:sz w:val="24"/>
          <w:szCs w:val="24"/>
        </w:rPr>
        <w:t>м</w:t>
      </w:r>
      <w:r w:rsidR="00A15163" w:rsidRPr="00BD4021">
        <w:rPr>
          <w:rFonts w:ascii="Times New Roman" w:hAnsi="Times New Roman"/>
          <w:sz w:val="24"/>
          <w:szCs w:val="24"/>
        </w:rPr>
        <w:t xml:space="preserve">, гарантиращ </w:t>
      </w:r>
      <w:proofErr w:type="spellStart"/>
      <w:r w:rsidR="00A15163" w:rsidRPr="00BD4021">
        <w:rPr>
          <w:rFonts w:ascii="Times New Roman" w:hAnsi="Times New Roman"/>
          <w:sz w:val="24"/>
          <w:szCs w:val="24"/>
        </w:rPr>
        <w:t>предвидимост</w:t>
      </w:r>
      <w:proofErr w:type="spellEnd"/>
      <w:r w:rsidR="00A15163" w:rsidRPr="00BD4021">
        <w:rPr>
          <w:rFonts w:ascii="Times New Roman" w:hAnsi="Times New Roman"/>
          <w:sz w:val="24"/>
          <w:szCs w:val="24"/>
        </w:rPr>
        <w:t xml:space="preserve"> и устойчивост на бюджета на НЗОК</w:t>
      </w:r>
      <w:r w:rsidR="004244C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:rsidR="00AA66F4" w:rsidRPr="00AA66F4" w:rsidRDefault="006E1CD2" w:rsidP="00AA66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AA66F4"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 </w:t>
      </w:r>
      <w:r w:rsidR="00AA66F4" w:rsidRPr="00FB70A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всяка основна група</w:t>
      </w:r>
      <w:r w:rsidR="00AA66F4"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лекарствени продукти от горепосочените се извършва поредица от действия в хронологична последователност:</w:t>
      </w:r>
    </w:p>
    <w:p w:rsidR="005341E8" w:rsidRDefault="00AA66F4" w:rsidP="00AA66F4">
      <w:pPr>
        <w:numPr>
          <w:ilvl w:val="0"/>
          <w:numId w:val="3"/>
        </w:numPr>
        <w:spacing w:after="0" w:line="240" w:lineRule="auto"/>
        <w:ind w:left="0" w:firstLine="106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Средствата за здравноосигурителни плащания, предвидени в бюджета на НЗОК за 2019г.  за съответната основна </w:t>
      </w:r>
      <w:r w:rsidR="00876F0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група лекарствени продукти </w:t>
      </w:r>
      <w:r w:rsidR="00876F0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876F0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формирани на база реален разход на НЗОК за </w:t>
      </w:r>
      <w:r w:rsidR="00BE48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2018г. </w:t>
      </w:r>
      <w:r w:rsidR="00347D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 </w:t>
      </w:r>
      <w:r w:rsidR="00876F0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тази основна група </w:t>
      </w:r>
      <w:r w:rsidR="000414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със</w:t>
      </w:r>
      <w:r w:rsidR="00876F0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заложен съответен ръст</w:t>
      </w:r>
      <w:r w:rsidR="00876F0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условно се разделят на четири равни части – т.е. формира се бюджет за всяко тримесечие на 2019г.</w:t>
      </w:r>
      <w:r w:rsidR="00FB70A1" w:rsidRPr="005341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 съответната основна група лекарствени продукти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  <w:r w:rsidR="005341E8" w:rsidRPr="005341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84D5C" w:rsidRDefault="00A84D5C" w:rsidP="00AA66F4">
      <w:pPr>
        <w:numPr>
          <w:ilvl w:val="0"/>
          <w:numId w:val="3"/>
        </w:numPr>
        <w:spacing w:after="0" w:line="240" w:lineRule="auto"/>
        <w:ind w:left="0" w:firstLine="106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НЗОК договаря с всеки ПРУ разходи за 2019г. за лекарствените му продукти по отделни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INN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трите основни групи.</w:t>
      </w:r>
    </w:p>
    <w:p w:rsidR="00A84D5C" w:rsidRDefault="00A84D5C" w:rsidP="00AA66F4">
      <w:pPr>
        <w:numPr>
          <w:ilvl w:val="0"/>
          <w:numId w:val="3"/>
        </w:numPr>
        <w:spacing w:after="0" w:line="240" w:lineRule="auto"/>
        <w:ind w:left="0" w:firstLine="106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Сбора на всички договорени разходи за 2019г. за всяка основна група следва да не надхвърля бюджетната рамка, установена в закона за бюджета на НЗОК за 2019г</w:t>
      </w:r>
      <w:r w:rsidR="00876F0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 тази група.</w:t>
      </w:r>
    </w:p>
    <w:p w:rsidR="00AA66F4" w:rsidRPr="00AA66F4" w:rsidRDefault="00AA66F4" w:rsidP="00AA66F4">
      <w:pPr>
        <w:numPr>
          <w:ilvl w:val="0"/>
          <w:numId w:val="3"/>
        </w:numPr>
        <w:spacing w:after="0" w:line="240" w:lineRule="auto"/>
        <w:ind w:left="0" w:firstLine="106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След приключване на всяко тримесечие, НЗОК обобщава данните за отпуснатите и отчетени количества лекарствени продукти в основната група. От общата </w:t>
      </w:r>
      <w:proofErr w:type="spellStart"/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реимбурсна</w:t>
      </w:r>
      <w:proofErr w:type="spellEnd"/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сума за съответното тримесечие, се приспадат </w:t>
      </w:r>
      <w:r w:rsidR="00FB70A1" w:rsidRPr="005341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договорените  и 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дължими отстъпки </w:t>
      </w:r>
      <w:r w:rsidR="00FB70A1" w:rsidRPr="005341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FB70A1" w:rsidRPr="005341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задължителните, както и договорените доброволни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отстъпки</w:t>
      </w:r>
      <w:r w:rsidR="00FB70A1" w:rsidRPr="005341E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В резултат на приспадането се формират нетните разходи на НЗОК за съответното тримесечие на 2019г. за основната група лекарствени продукти;</w:t>
      </w:r>
    </w:p>
    <w:p w:rsidR="00AA66F4" w:rsidRPr="00AA66F4" w:rsidRDefault="00AA66F4" w:rsidP="00AA66F4">
      <w:pPr>
        <w:numPr>
          <w:ilvl w:val="0"/>
          <w:numId w:val="3"/>
        </w:numPr>
        <w:spacing w:after="0" w:line="240" w:lineRule="auto"/>
        <w:ind w:left="0" w:firstLine="106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Изчислява се дали е налице общо </w:t>
      </w:r>
      <w:proofErr w:type="spellStart"/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превишение</w:t>
      </w:r>
      <w:proofErr w:type="spellEnd"/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разходи</w:t>
      </w:r>
      <w:r w:rsidR="002655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НЗОК за </w:t>
      </w:r>
      <w:r w:rsidR="00BF3AF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даденото тримесечие за 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основната група спрямо </w:t>
      </w:r>
      <w:r w:rsidR="00BF3AF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формирания бюджет 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 тримесечие за 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тази група</w:t>
      </w:r>
      <w:r w:rsidR="00BF3AF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F3AF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BF3AF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съгл. т.1.</w:t>
      </w:r>
      <w:r w:rsidR="00BF3AF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FB70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Наличието на </w:t>
      </w:r>
      <w:proofErr w:type="spellStart"/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превишение</w:t>
      </w:r>
      <w:proofErr w:type="spellEnd"/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е условие за прилагане на настоящия механизъм </w:t>
      </w:r>
      <w:r w:rsidR="00A84D5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F3AF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основната 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група;</w:t>
      </w:r>
    </w:p>
    <w:p w:rsidR="00E13E88" w:rsidRPr="001A6053" w:rsidRDefault="00AA66F4" w:rsidP="001A6053">
      <w:pPr>
        <w:pStyle w:val="ListParagraph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 наличие на </w:t>
      </w:r>
      <w:proofErr w:type="spellStart"/>
      <w:r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превишение</w:t>
      </w:r>
      <w:proofErr w:type="spellEnd"/>
      <w:r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</w:t>
      </w:r>
      <w:r w:rsidR="00BF3AFC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формирания бюджет за тримесечието</w:t>
      </w:r>
      <w:r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съответната основна група, НЗОК установява международните непатентни наименования </w:t>
      </w:r>
      <w:r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(INN)</w:t>
      </w:r>
      <w:r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увеличение</w:t>
      </w:r>
      <w:r w:rsidR="00E13E88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Увеличение за даден </w:t>
      </w:r>
      <w:r w:rsidR="00E13E88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INN</w:t>
      </w:r>
      <w:r w:rsidR="00E13E88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е налице, когато сбора на </w:t>
      </w:r>
      <w:r w:rsidR="006A1C20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реалните </w:t>
      </w:r>
      <w:r w:rsidR="000A5A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нетни </w:t>
      </w:r>
      <w:r w:rsidR="00E13E88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разходи </w:t>
      </w:r>
      <w:r w:rsidR="000A5AE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0A5A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 приспаднати отстъпки</w:t>
      </w:r>
      <w:r w:rsidR="000A5AE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0A5A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13E88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НЗОК </w:t>
      </w:r>
      <w:r w:rsidR="006A1C20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 съответното тримесечие на 2019г. </w:t>
      </w:r>
      <w:r w:rsidR="00E13E88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 лекарствените продукти</w:t>
      </w:r>
      <w:r w:rsidR="006A1C20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E13E88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принадлежащи към този </w:t>
      </w:r>
      <w:r w:rsidR="00E13E88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INN</w:t>
      </w:r>
      <w:r w:rsidR="00E13E88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надхвърля </w:t>
      </w:r>
      <w:r w:rsidR="00347D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една четвърт от</w:t>
      </w:r>
      <w:r w:rsidR="006A1C20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A84D5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договорените </w:t>
      </w:r>
      <w:r w:rsidR="00347D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т.2 </w:t>
      </w:r>
      <w:r w:rsidR="000414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годишни</w:t>
      </w:r>
      <w:r w:rsidR="006A1C20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13E88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разходи</w:t>
      </w:r>
      <w:r w:rsidR="006A1C20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r w:rsidR="000A5AE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0A5A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 приспаднати отстъпки</w:t>
      </w:r>
      <w:r w:rsidR="000A5AE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0A5A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6A1C20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НЗОК</w:t>
      </w:r>
      <w:r w:rsidR="00E13E88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 </w:t>
      </w:r>
      <w:r w:rsidR="006A1C20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същия </w:t>
      </w:r>
      <w:r w:rsidR="006A1C20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INN</w:t>
      </w:r>
      <w:r w:rsidR="00347D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E00372" w:rsidRPr="001A6053" w:rsidRDefault="00AA66F4" w:rsidP="00E00372">
      <w:pPr>
        <w:pStyle w:val="ListParagraph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рамките на </w:t>
      </w:r>
      <w:r w:rsid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всеки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INN </w:t>
      </w:r>
      <w:r w:rsid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 увеличение</w:t>
      </w:r>
      <w:r w:rsidR="005341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се установяват притежателите на разрешение за употреба 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ПРУ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лекарствените продукти</w:t>
      </w:r>
      <w:r w:rsidR="005341E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формирали това увеличение.</w:t>
      </w:r>
      <w:r w:rsidR="00E00372" w:rsidRP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00372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Увеличение за даден</w:t>
      </w:r>
      <w:r w:rsid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 ПРУ е налице, когато</w:t>
      </w:r>
      <w:r w:rsidR="00E00372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сбора на реалните </w:t>
      </w:r>
      <w:r w:rsid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нетни </w:t>
      </w:r>
      <w:r w:rsidR="00E00372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разходи </w:t>
      </w:r>
      <w:r w:rsid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 приспаднати отстъпки</w:t>
      </w:r>
      <w:r w:rsid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00372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НЗОК за съответното тримесечие на 2019г. за лекарствените </w:t>
      </w:r>
      <w:r w:rsid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му </w:t>
      </w:r>
      <w:r w:rsidR="00E00372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продукти, принадлежащи към този </w:t>
      </w:r>
      <w:r w:rsidR="00E00372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INN</w:t>
      </w:r>
      <w:r w:rsidR="00E00372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надхвърля </w:t>
      </w:r>
      <w:r w:rsidR="00347D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една четвърт </w:t>
      </w:r>
      <w:r w:rsidR="00E00372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 </w:t>
      </w:r>
      <w:r w:rsid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договорените с НЗОК </w:t>
      </w:r>
      <w:r w:rsidR="00347D09" w:rsidRPr="00347D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годишни </w:t>
      </w:r>
      <w:r w:rsidR="00E00372" w:rsidRPr="001A60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разходи  </w:t>
      </w:r>
      <w:r w:rsid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 приспаднати отстъпки</w:t>
      </w:r>
      <w:r w:rsid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A66F4" w:rsidRDefault="00E00372" w:rsidP="00AA66F4">
      <w:pPr>
        <w:numPr>
          <w:ilvl w:val="0"/>
          <w:numId w:val="3"/>
        </w:numPr>
        <w:spacing w:after="0" w:line="240" w:lineRule="auto"/>
        <w:ind w:left="0" w:firstLine="106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ПРУ/негов УП е длъжен да възстанови на НЗОК установеното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надвишение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 съответното тримесечие на 2019г.</w:t>
      </w:r>
      <w:r w:rsidR="00AA66F4"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чрез пряко плащане на НЗОК.</w:t>
      </w:r>
    </w:p>
    <w:p w:rsidR="00E00372" w:rsidRPr="00E00372" w:rsidRDefault="00AA66F4" w:rsidP="00E00372">
      <w:pPr>
        <w:numPr>
          <w:ilvl w:val="0"/>
          <w:numId w:val="3"/>
        </w:numPr>
        <w:spacing w:after="0" w:line="240" w:lineRule="auto"/>
        <w:ind w:left="0" w:firstLine="10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След приключване на годината се извършва изравняване при надвишен или по-малък размер на </w:t>
      </w:r>
      <w:r w:rsidR="00E00372" w:rsidRP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възстановената сума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00372" w:rsidRP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 ПРУ </w:t>
      </w:r>
      <w:r w:rsidRPr="00AA66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тримесечия спрямо </w:t>
      </w:r>
      <w:r w:rsidR="00E00372" w:rsidRPr="00E003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общата дължима от него сума за възстановяване за 2019г. </w:t>
      </w:r>
    </w:p>
    <w:p w:rsidR="00E00372" w:rsidRPr="00AA66F4" w:rsidRDefault="00E00372" w:rsidP="00E00372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2D74" w:rsidRPr="007A2D74" w:rsidRDefault="007A2D74" w:rsidP="00AA6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2D74" w:rsidRPr="007A2D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E1" w:rsidRDefault="00F868E1" w:rsidP="00162028">
      <w:pPr>
        <w:spacing w:after="0" w:line="240" w:lineRule="auto"/>
      </w:pPr>
      <w:r>
        <w:separator/>
      </w:r>
    </w:p>
  </w:endnote>
  <w:endnote w:type="continuationSeparator" w:id="0">
    <w:p w:rsidR="00F868E1" w:rsidRDefault="00F868E1" w:rsidP="0016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8256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028" w:rsidRDefault="001620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7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2028" w:rsidRDefault="00162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E1" w:rsidRDefault="00F868E1" w:rsidP="00162028">
      <w:pPr>
        <w:spacing w:after="0" w:line="240" w:lineRule="auto"/>
      </w:pPr>
      <w:r>
        <w:separator/>
      </w:r>
    </w:p>
  </w:footnote>
  <w:footnote w:type="continuationSeparator" w:id="0">
    <w:p w:rsidR="00F868E1" w:rsidRDefault="00F868E1" w:rsidP="0016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4F49"/>
    <w:multiLevelType w:val="hybridMultilevel"/>
    <w:tmpl w:val="877E668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69C00C4"/>
    <w:multiLevelType w:val="hybridMultilevel"/>
    <w:tmpl w:val="6B480E44"/>
    <w:lvl w:ilvl="0" w:tplc="140EBF40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3B072C"/>
    <w:multiLevelType w:val="hybridMultilevel"/>
    <w:tmpl w:val="B8DC68A6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5E06FC"/>
    <w:multiLevelType w:val="hybridMultilevel"/>
    <w:tmpl w:val="7DF48756"/>
    <w:lvl w:ilvl="0" w:tplc="08480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17"/>
    <w:rsid w:val="0000639F"/>
    <w:rsid w:val="00041490"/>
    <w:rsid w:val="00087BB2"/>
    <w:rsid w:val="0009515C"/>
    <w:rsid w:val="000A5AE3"/>
    <w:rsid w:val="00150817"/>
    <w:rsid w:val="00162028"/>
    <w:rsid w:val="001A6053"/>
    <w:rsid w:val="00245481"/>
    <w:rsid w:val="00265595"/>
    <w:rsid w:val="00272D93"/>
    <w:rsid w:val="002C1294"/>
    <w:rsid w:val="002E34C3"/>
    <w:rsid w:val="00334DBB"/>
    <w:rsid w:val="00347D09"/>
    <w:rsid w:val="0035779B"/>
    <w:rsid w:val="00386E21"/>
    <w:rsid w:val="00400FE6"/>
    <w:rsid w:val="00411E14"/>
    <w:rsid w:val="004244C2"/>
    <w:rsid w:val="00441C95"/>
    <w:rsid w:val="004721F4"/>
    <w:rsid w:val="0048073D"/>
    <w:rsid w:val="004B7FF0"/>
    <w:rsid w:val="004C595C"/>
    <w:rsid w:val="004E4F57"/>
    <w:rsid w:val="004E5F4A"/>
    <w:rsid w:val="00523508"/>
    <w:rsid w:val="005341E8"/>
    <w:rsid w:val="005658DD"/>
    <w:rsid w:val="005A6F5C"/>
    <w:rsid w:val="005F3BC7"/>
    <w:rsid w:val="00642BA5"/>
    <w:rsid w:val="0065184A"/>
    <w:rsid w:val="00652884"/>
    <w:rsid w:val="00666A16"/>
    <w:rsid w:val="00692AF2"/>
    <w:rsid w:val="00697F00"/>
    <w:rsid w:val="006A1C20"/>
    <w:rsid w:val="006E1CD2"/>
    <w:rsid w:val="00756E6C"/>
    <w:rsid w:val="007957F6"/>
    <w:rsid w:val="007A2D74"/>
    <w:rsid w:val="007A72D0"/>
    <w:rsid w:val="00820C02"/>
    <w:rsid w:val="00876F0A"/>
    <w:rsid w:val="008C4E14"/>
    <w:rsid w:val="008D4E02"/>
    <w:rsid w:val="008E3488"/>
    <w:rsid w:val="008E3C82"/>
    <w:rsid w:val="00944D4B"/>
    <w:rsid w:val="009613EE"/>
    <w:rsid w:val="00985232"/>
    <w:rsid w:val="00A15163"/>
    <w:rsid w:val="00A15E95"/>
    <w:rsid w:val="00A31A79"/>
    <w:rsid w:val="00A414C8"/>
    <w:rsid w:val="00A6293D"/>
    <w:rsid w:val="00A84D5C"/>
    <w:rsid w:val="00AA66F4"/>
    <w:rsid w:val="00AE748C"/>
    <w:rsid w:val="00AF5F85"/>
    <w:rsid w:val="00B16526"/>
    <w:rsid w:val="00BD4021"/>
    <w:rsid w:val="00BE48DD"/>
    <w:rsid w:val="00BF3AFC"/>
    <w:rsid w:val="00C71AF6"/>
    <w:rsid w:val="00D11B53"/>
    <w:rsid w:val="00D31656"/>
    <w:rsid w:val="00D526AC"/>
    <w:rsid w:val="00D8147E"/>
    <w:rsid w:val="00DB31A5"/>
    <w:rsid w:val="00DE47EB"/>
    <w:rsid w:val="00E00372"/>
    <w:rsid w:val="00E13E88"/>
    <w:rsid w:val="00E27E80"/>
    <w:rsid w:val="00E31B69"/>
    <w:rsid w:val="00E34694"/>
    <w:rsid w:val="00E76934"/>
    <w:rsid w:val="00E80592"/>
    <w:rsid w:val="00EB40AF"/>
    <w:rsid w:val="00EF5DDE"/>
    <w:rsid w:val="00F06326"/>
    <w:rsid w:val="00F11321"/>
    <w:rsid w:val="00F420F4"/>
    <w:rsid w:val="00F82BD3"/>
    <w:rsid w:val="00F868E1"/>
    <w:rsid w:val="00FA1BD5"/>
    <w:rsid w:val="00FB1A7E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028"/>
  </w:style>
  <w:style w:type="paragraph" w:styleId="Footer">
    <w:name w:val="footer"/>
    <w:basedOn w:val="Normal"/>
    <w:link w:val="FooterChar"/>
    <w:uiPriority w:val="99"/>
    <w:unhideWhenUsed/>
    <w:rsid w:val="0016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028"/>
  </w:style>
  <w:style w:type="paragraph" w:styleId="BalloonText">
    <w:name w:val="Balloon Text"/>
    <w:basedOn w:val="Normal"/>
    <w:link w:val="BalloonTextChar"/>
    <w:uiPriority w:val="99"/>
    <w:semiHidden/>
    <w:unhideWhenUsed/>
    <w:rsid w:val="008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028"/>
  </w:style>
  <w:style w:type="paragraph" w:styleId="Footer">
    <w:name w:val="footer"/>
    <w:basedOn w:val="Normal"/>
    <w:link w:val="FooterChar"/>
    <w:uiPriority w:val="99"/>
    <w:unhideWhenUsed/>
    <w:rsid w:val="0016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028"/>
  </w:style>
  <w:style w:type="paragraph" w:styleId="BalloonText">
    <w:name w:val="Balloon Text"/>
    <w:basedOn w:val="Normal"/>
    <w:link w:val="BalloonTextChar"/>
    <w:uiPriority w:val="99"/>
    <w:semiHidden/>
    <w:unhideWhenUsed/>
    <w:rsid w:val="008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DD42-69F1-4ACB-B03A-6CB9B530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Ирена Дилянова Бенева</dc:creator>
  <cp:lastModifiedBy>nhif</cp:lastModifiedBy>
  <cp:revision>2</cp:revision>
  <cp:lastPrinted>2018-10-24T13:05:00Z</cp:lastPrinted>
  <dcterms:created xsi:type="dcterms:W3CDTF">2018-10-25T07:40:00Z</dcterms:created>
  <dcterms:modified xsi:type="dcterms:W3CDTF">2018-10-25T07:40:00Z</dcterms:modified>
</cp:coreProperties>
</file>