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53C7" w:rsidRDefault="001253C7" w:rsidP="001253C7">
      <w:pPr>
        <w:spacing w:after="0" w:line="268" w:lineRule="auto"/>
        <w:ind w:firstLine="283"/>
        <w:jc w:val="center"/>
        <w:textAlignment w:val="center"/>
        <w:rPr>
          <w:rFonts w:ascii="Times New Roman" w:eastAsia="Times New Roman" w:hAnsi="Times New Roman" w:cs="Times New Roman"/>
          <w:b/>
          <w:color w:val="000000"/>
          <w:sz w:val="26"/>
          <w:szCs w:val="26"/>
          <w:lang w:eastAsia="bg-BG"/>
        </w:rPr>
      </w:pPr>
      <w:r w:rsidRPr="008B2977">
        <w:rPr>
          <w:rFonts w:ascii="Times New Roman" w:eastAsia="Times New Roman" w:hAnsi="Times New Roman" w:cs="Times New Roman"/>
          <w:b/>
          <w:color w:val="000000"/>
          <w:sz w:val="26"/>
          <w:szCs w:val="26"/>
          <w:lang w:eastAsia="bg-BG"/>
        </w:rPr>
        <w:t>МОТИВИ</w:t>
      </w:r>
    </w:p>
    <w:p w:rsidR="00B77A4E" w:rsidRDefault="00B77A4E" w:rsidP="001253C7">
      <w:pPr>
        <w:spacing w:after="0" w:line="268" w:lineRule="auto"/>
        <w:ind w:firstLine="283"/>
        <w:jc w:val="center"/>
        <w:textAlignment w:val="center"/>
        <w:rPr>
          <w:rFonts w:ascii="Times New Roman" w:eastAsia="Times New Roman" w:hAnsi="Times New Roman" w:cs="Times New Roman"/>
          <w:b/>
          <w:color w:val="000000"/>
          <w:sz w:val="26"/>
          <w:szCs w:val="26"/>
          <w:lang w:eastAsia="bg-BG"/>
        </w:rPr>
      </w:pPr>
      <w:r>
        <w:rPr>
          <w:rFonts w:ascii="Times New Roman" w:eastAsia="Times New Roman" w:hAnsi="Times New Roman" w:cs="Times New Roman"/>
          <w:b/>
          <w:color w:val="000000"/>
          <w:sz w:val="26"/>
          <w:szCs w:val="26"/>
          <w:lang w:eastAsia="bg-BG"/>
        </w:rPr>
        <w:t xml:space="preserve">Към УСЛОВИЯ И РЕД ЗА ИЗМЕНЕНИЕ И ДОПЪЛНЕНИЕ НА УСЛОВИЯ И РЕД </w:t>
      </w:r>
      <w:r w:rsidRPr="00B77A4E">
        <w:rPr>
          <w:rFonts w:ascii="Times New Roman" w:eastAsia="Times New Roman" w:hAnsi="Times New Roman" w:cs="Times New Roman"/>
          <w:b/>
          <w:color w:val="000000"/>
          <w:sz w:val="26"/>
          <w:szCs w:val="26"/>
          <w:lang w:eastAsia="bg-BG"/>
        </w:rPr>
        <w:t>ЗА СКЛЮЧВАНЕ НА ДОГОВОРИ ЗА ОТПУСКАНЕ И ЗАПЛАЩАНЕ НА ЛЕКАРСТВЕНИ ПРОДУКТИ ПО ЧЛ.262, АЛ.6, Т.1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НЗОК</w:t>
      </w:r>
      <w:r w:rsidR="000B55D3">
        <w:rPr>
          <w:rFonts w:ascii="Times New Roman" w:eastAsia="Times New Roman" w:hAnsi="Times New Roman" w:cs="Times New Roman"/>
          <w:b/>
          <w:color w:val="000000"/>
          <w:sz w:val="26"/>
          <w:szCs w:val="26"/>
          <w:lang w:eastAsia="bg-BG"/>
        </w:rPr>
        <w:t xml:space="preserve"> (ПРОЕКТ)</w:t>
      </w:r>
      <w:bookmarkStart w:id="0" w:name="_GoBack"/>
      <w:bookmarkEnd w:id="0"/>
    </w:p>
    <w:p w:rsidR="00AF02CC" w:rsidRDefault="00AF02CC" w:rsidP="001253C7">
      <w:pPr>
        <w:spacing w:after="0" w:line="268" w:lineRule="auto"/>
        <w:ind w:firstLine="283"/>
        <w:jc w:val="center"/>
        <w:textAlignment w:val="center"/>
        <w:rPr>
          <w:rFonts w:ascii="Times New Roman" w:eastAsia="Times New Roman" w:hAnsi="Times New Roman" w:cs="Times New Roman"/>
          <w:b/>
          <w:color w:val="000000"/>
          <w:sz w:val="26"/>
          <w:szCs w:val="26"/>
          <w:lang w:eastAsia="bg-BG"/>
        </w:rPr>
      </w:pPr>
    </w:p>
    <w:p w:rsidR="00AF02CC" w:rsidRDefault="00AF02CC" w:rsidP="001253C7">
      <w:pPr>
        <w:spacing w:after="0" w:line="268" w:lineRule="auto"/>
        <w:ind w:firstLine="283"/>
        <w:jc w:val="center"/>
        <w:textAlignment w:val="center"/>
        <w:rPr>
          <w:rFonts w:ascii="Times New Roman" w:eastAsia="Times New Roman" w:hAnsi="Times New Roman" w:cs="Times New Roman"/>
          <w:b/>
          <w:color w:val="000000"/>
          <w:sz w:val="26"/>
          <w:szCs w:val="26"/>
          <w:lang w:eastAsia="bg-BG"/>
        </w:rPr>
      </w:pPr>
    </w:p>
    <w:p w:rsidR="00AF02CC" w:rsidRPr="008B2977" w:rsidRDefault="00AF02CC" w:rsidP="001253C7">
      <w:pPr>
        <w:spacing w:after="0" w:line="268" w:lineRule="auto"/>
        <w:ind w:firstLine="283"/>
        <w:jc w:val="center"/>
        <w:textAlignment w:val="center"/>
        <w:rPr>
          <w:rFonts w:ascii="Times New Roman" w:eastAsia="Times New Roman" w:hAnsi="Times New Roman" w:cs="Times New Roman"/>
          <w:b/>
          <w:color w:val="000000"/>
          <w:sz w:val="26"/>
          <w:szCs w:val="26"/>
          <w:lang w:eastAsia="bg-BG"/>
        </w:rPr>
      </w:pPr>
    </w:p>
    <w:p w:rsidR="001253C7" w:rsidRPr="003224D7" w:rsidRDefault="00B77A4E" w:rsidP="00B77A4E">
      <w:pPr>
        <w:pStyle w:val="ListParagraph"/>
        <w:numPr>
          <w:ilvl w:val="0"/>
          <w:numId w:val="3"/>
        </w:numPr>
        <w:spacing w:after="0" w:line="268" w:lineRule="auto"/>
        <w:jc w:val="both"/>
        <w:textAlignment w:val="center"/>
        <w:rPr>
          <w:rFonts w:ascii="Times New Roman" w:eastAsia="Times New Roman" w:hAnsi="Times New Roman" w:cs="Times New Roman"/>
          <w:b/>
          <w:color w:val="000000"/>
          <w:sz w:val="26"/>
          <w:szCs w:val="26"/>
          <w:lang w:eastAsia="bg-BG"/>
        </w:rPr>
      </w:pPr>
      <w:r w:rsidRPr="003224D7">
        <w:rPr>
          <w:rFonts w:ascii="Times New Roman" w:eastAsia="Times New Roman" w:hAnsi="Times New Roman" w:cs="Times New Roman"/>
          <w:b/>
          <w:color w:val="000000"/>
          <w:sz w:val="26"/>
          <w:szCs w:val="26"/>
          <w:lang w:eastAsia="bg-BG"/>
        </w:rPr>
        <w:t>Причини, които налагат приемане на акта.</w:t>
      </w:r>
    </w:p>
    <w:p w:rsidR="00B77A4E" w:rsidRPr="00B77A4E" w:rsidRDefault="00B77A4E" w:rsidP="00B77A4E">
      <w:pPr>
        <w:pStyle w:val="ListParagraph"/>
        <w:spacing w:after="0" w:line="268" w:lineRule="auto"/>
        <w:ind w:left="643"/>
        <w:jc w:val="both"/>
        <w:textAlignment w:val="center"/>
        <w:rPr>
          <w:rFonts w:ascii="Times New Roman" w:eastAsia="Times New Roman" w:hAnsi="Times New Roman" w:cs="Times New Roman"/>
          <w:color w:val="000000"/>
          <w:sz w:val="26"/>
          <w:szCs w:val="26"/>
          <w:lang w:eastAsia="bg-BG"/>
        </w:rPr>
      </w:pPr>
    </w:p>
    <w:p w:rsidR="001253C7" w:rsidRPr="008B2977" w:rsidRDefault="00644C79" w:rsidP="001253C7">
      <w:pPr>
        <w:widowControl w:val="0"/>
        <w:autoSpaceDE w:val="0"/>
        <w:autoSpaceDN w:val="0"/>
        <w:adjustRightInd w:val="0"/>
        <w:jc w:val="both"/>
        <w:rPr>
          <w:rFonts w:ascii="Times New Roman" w:eastAsia="Times New Roman" w:hAnsi="Times New Roman" w:cs="Times New Roman"/>
          <w:color w:val="000000"/>
          <w:sz w:val="26"/>
          <w:szCs w:val="26"/>
          <w:lang w:eastAsia="bg-BG"/>
        </w:rPr>
      </w:pPr>
      <w:r w:rsidRPr="008B2977">
        <w:rPr>
          <w:rFonts w:ascii="Times New Roman" w:eastAsia="Times New Roman" w:hAnsi="Times New Roman" w:cs="Times New Roman"/>
          <w:color w:val="000000"/>
          <w:sz w:val="26"/>
          <w:szCs w:val="26"/>
          <w:lang w:eastAsia="bg-BG"/>
        </w:rPr>
        <w:tab/>
        <w:t>Настоящите</w:t>
      </w:r>
      <w:r w:rsidR="001253C7" w:rsidRPr="008B2977">
        <w:rPr>
          <w:rFonts w:ascii="Times New Roman" w:eastAsia="Times New Roman" w:hAnsi="Times New Roman" w:cs="Times New Roman"/>
          <w:color w:val="000000"/>
          <w:sz w:val="26"/>
          <w:szCs w:val="26"/>
          <w:lang w:eastAsia="bg-BG"/>
        </w:rPr>
        <w:t xml:space="preserve"> </w:t>
      </w:r>
      <w:r w:rsidR="00D13A92">
        <w:rPr>
          <w:rFonts w:ascii="Times New Roman" w:eastAsia="Times New Roman" w:hAnsi="Times New Roman" w:cs="Times New Roman"/>
          <w:color w:val="000000"/>
          <w:sz w:val="26"/>
          <w:szCs w:val="26"/>
          <w:lang w:eastAsia="bg-BG"/>
        </w:rPr>
        <w:t xml:space="preserve">Условия и ред за изменение и допълнение на </w:t>
      </w:r>
      <w:r w:rsidR="001253C7" w:rsidRPr="008B2977">
        <w:rPr>
          <w:rFonts w:ascii="Times New Roman" w:eastAsia="Times New Roman" w:hAnsi="Times New Roman" w:cs="Times New Roman"/>
          <w:color w:val="000000"/>
          <w:sz w:val="26"/>
          <w:szCs w:val="26"/>
          <w:lang w:eastAsia="bg-BG"/>
        </w:rPr>
        <w:t>Условия и ред за сключване на договори за отпускане и заплащане на лекарствени продукти по чл.262, ал.6, т.1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НЗОК</w:t>
      </w:r>
      <w:r w:rsidR="00B77A4E">
        <w:rPr>
          <w:rFonts w:ascii="Times New Roman" w:eastAsia="Times New Roman" w:hAnsi="Times New Roman" w:cs="Times New Roman"/>
          <w:color w:val="000000"/>
          <w:sz w:val="26"/>
          <w:szCs w:val="26"/>
          <w:lang w:eastAsia="bg-BG"/>
        </w:rPr>
        <w:t xml:space="preserve"> (</w:t>
      </w:r>
      <w:proofErr w:type="spellStart"/>
      <w:r w:rsidR="00656F16" w:rsidRPr="00823005">
        <w:rPr>
          <w:rFonts w:ascii="Times New Roman" w:eastAsia="Times New Roman" w:hAnsi="Times New Roman" w:cs="Times New Roman"/>
          <w:color w:val="000000"/>
          <w:sz w:val="26"/>
          <w:szCs w:val="26"/>
          <w:lang w:eastAsia="bg-BG"/>
        </w:rPr>
        <w:t>обн</w:t>
      </w:r>
      <w:proofErr w:type="spellEnd"/>
      <w:r w:rsidR="00656F16" w:rsidRPr="00823005">
        <w:rPr>
          <w:rFonts w:ascii="Times New Roman" w:eastAsia="Times New Roman" w:hAnsi="Times New Roman" w:cs="Times New Roman"/>
          <w:color w:val="000000"/>
          <w:sz w:val="26"/>
          <w:szCs w:val="26"/>
          <w:lang w:eastAsia="bg-BG"/>
        </w:rPr>
        <w:t>., ДВ, бр. 22 от 22.03.2016 г., в сила от 1.04.2016 г. до 31.03.2017 г., изм. и доп., бр. 49 от 28.06.2016 г., бр. 26 от 28.03.2017 г., в сила от 1.04.2017 г.</w:t>
      </w:r>
      <w:r w:rsidR="00B77A4E">
        <w:rPr>
          <w:rFonts w:ascii="Times New Roman" w:eastAsia="Times New Roman" w:hAnsi="Times New Roman" w:cs="Times New Roman"/>
          <w:color w:val="000000"/>
          <w:sz w:val="26"/>
          <w:szCs w:val="26"/>
          <w:lang w:eastAsia="bg-BG"/>
        </w:rPr>
        <w:t>)</w:t>
      </w:r>
      <w:r w:rsidR="001253C7" w:rsidRPr="008B2977">
        <w:rPr>
          <w:rFonts w:ascii="Times New Roman" w:eastAsia="Times New Roman" w:hAnsi="Times New Roman" w:cs="Times New Roman"/>
          <w:color w:val="000000"/>
          <w:sz w:val="26"/>
          <w:szCs w:val="26"/>
          <w:lang w:eastAsia="bg-BG"/>
        </w:rPr>
        <w:t xml:space="preserve"> се издава</w:t>
      </w:r>
      <w:r w:rsidRPr="008B2977">
        <w:rPr>
          <w:rFonts w:ascii="Times New Roman" w:eastAsia="Times New Roman" w:hAnsi="Times New Roman" w:cs="Times New Roman"/>
          <w:color w:val="000000"/>
          <w:sz w:val="26"/>
          <w:szCs w:val="26"/>
          <w:lang w:eastAsia="bg-BG"/>
        </w:rPr>
        <w:t>т</w:t>
      </w:r>
      <w:r w:rsidR="001253C7" w:rsidRPr="008B2977">
        <w:rPr>
          <w:rFonts w:ascii="Times New Roman" w:eastAsia="Times New Roman" w:hAnsi="Times New Roman" w:cs="Times New Roman"/>
          <w:color w:val="000000"/>
          <w:sz w:val="26"/>
          <w:szCs w:val="26"/>
          <w:lang w:eastAsia="bg-BG"/>
        </w:rPr>
        <w:t xml:space="preserve"> на основание на чл.45, ал.15 от Зак</w:t>
      </w:r>
      <w:r w:rsidRPr="008B2977">
        <w:rPr>
          <w:rFonts w:ascii="Times New Roman" w:eastAsia="Times New Roman" w:hAnsi="Times New Roman" w:cs="Times New Roman"/>
          <w:color w:val="000000"/>
          <w:sz w:val="26"/>
          <w:szCs w:val="26"/>
          <w:lang w:eastAsia="bg-BG"/>
        </w:rPr>
        <w:t>она за здравното осигуряване и са съгласувани</w:t>
      </w:r>
      <w:r w:rsidR="001253C7" w:rsidRPr="008B2977">
        <w:rPr>
          <w:rFonts w:ascii="Times New Roman" w:eastAsia="Times New Roman" w:hAnsi="Times New Roman" w:cs="Times New Roman"/>
          <w:color w:val="000000"/>
          <w:sz w:val="26"/>
          <w:szCs w:val="26"/>
          <w:lang w:eastAsia="bg-BG"/>
        </w:rPr>
        <w:t xml:space="preserve"> от 9 представители на НЗОК и 9 представители на Българския фармацевтичен съюз, определени съответно от надзорния съвет на НЗОК и управителния съвет на Българския фармацевтичен съюз.</w:t>
      </w:r>
      <w:r w:rsidRPr="008B2977">
        <w:rPr>
          <w:rFonts w:ascii="Times New Roman" w:eastAsia="Times New Roman" w:hAnsi="Times New Roman" w:cs="Times New Roman"/>
          <w:color w:val="000000"/>
          <w:sz w:val="26"/>
          <w:szCs w:val="26"/>
          <w:lang w:eastAsia="bg-BG"/>
        </w:rPr>
        <w:t xml:space="preserve"> Условията и реда влизат в сила от 01.04.201</w:t>
      </w:r>
      <w:r w:rsidR="00656F16">
        <w:rPr>
          <w:rFonts w:ascii="Times New Roman" w:eastAsia="Times New Roman" w:hAnsi="Times New Roman" w:cs="Times New Roman"/>
          <w:color w:val="000000"/>
          <w:sz w:val="26"/>
          <w:szCs w:val="26"/>
          <w:lang w:eastAsia="bg-BG"/>
        </w:rPr>
        <w:t>8</w:t>
      </w:r>
      <w:r w:rsidRPr="008B2977">
        <w:rPr>
          <w:rFonts w:ascii="Times New Roman" w:eastAsia="Times New Roman" w:hAnsi="Times New Roman" w:cs="Times New Roman"/>
          <w:color w:val="000000"/>
          <w:sz w:val="26"/>
          <w:szCs w:val="26"/>
          <w:lang w:eastAsia="bg-BG"/>
        </w:rPr>
        <w:t>г. и имат срок на действие до 31.03.201</w:t>
      </w:r>
      <w:r w:rsidR="00656F16">
        <w:rPr>
          <w:rFonts w:ascii="Times New Roman" w:eastAsia="Times New Roman" w:hAnsi="Times New Roman" w:cs="Times New Roman"/>
          <w:color w:val="000000"/>
          <w:sz w:val="26"/>
          <w:szCs w:val="26"/>
          <w:lang w:eastAsia="bg-BG"/>
        </w:rPr>
        <w:t>9</w:t>
      </w:r>
      <w:r w:rsidRPr="008B2977">
        <w:rPr>
          <w:rFonts w:ascii="Times New Roman" w:eastAsia="Times New Roman" w:hAnsi="Times New Roman" w:cs="Times New Roman"/>
          <w:color w:val="000000"/>
          <w:sz w:val="26"/>
          <w:szCs w:val="26"/>
          <w:lang w:eastAsia="bg-BG"/>
        </w:rPr>
        <w:t>г. Условията и реда съдържат уредба на правоотношенията, определени в чл.45, ал.15 от ЗЗО, а именно :</w:t>
      </w:r>
    </w:p>
    <w:p w:rsidR="0017252C" w:rsidRPr="0017252C" w:rsidRDefault="0017252C" w:rsidP="0017252C">
      <w:pPr>
        <w:spacing w:after="0" w:line="240" w:lineRule="auto"/>
        <w:rPr>
          <w:rFonts w:ascii="Times New Roman" w:eastAsia="Times New Roman" w:hAnsi="Times New Roman" w:cs="Times New Roman"/>
          <w:color w:val="000000"/>
          <w:sz w:val="26"/>
          <w:szCs w:val="26"/>
          <w:lang w:eastAsia="bg-BG"/>
        </w:rPr>
      </w:pPr>
      <w:r w:rsidRPr="0017252C">
        <w:rPr>
          <w:rFonts w:ascii="Times New Roman" w:eastAsia="Times New Roman" w:hAnsi="Times New Roman" w:cs="Times New Roman"/>
          <w:color w:val="000000"/>
          <w:sz w:val="26"/>
          <w:szCs w:val="26"/>
          <w:lang w:eastAsia="bg-BG"/>
        </w:rPr>
        <w:t xml:space="preserve">1. </w:t>
      </w:r>
      <w:r w:rsidR="00B77A4E">
        <w:rPr>
          <w:rFonts w:ascii="Times New Roman" w:eastAsia="Times New Roman" w:hAnsi="Times New Roman" w:cs="Times New Roman"/>
          <w:color w:val="000000"/>
          <w:sz w:val="26"/>
          <w:szCs w:val="26"/>
          <w:lang w:eastAsia="bg-BG"/>
        </w:rPr>
        <w:t>задълженията на търговците на дребно на лекарствени продукти относно отпускане на продуктите и съответното оформяне на сделките в електронна база данни</w:t>
      </w:r>
      <w:r w:rsidRPr="0017252C">
        <w:rPr>
          <w:rFonts w:ascii="Times New Roman" w:eastAsia="Times New Roman" w:hAnsi="Times New Roman" w:cs="Times New Roman"/>
          <w:color w:val="000000"/>
          <w:sz w:val="26"/>
          <w:szCs w:val="26"/>
          <w:lang w:eastAsia="bg-BG"/>
        </w:rPr>
        <w:t>;</w:t>
      </w:r>
    </w:p>
    <w:p w:rsidR="0017252C" w:rsidRPr="0017252C" w:rsidRDefault="0017252C" w:rsidP="0017252C">
      <w:pPr>
        <w:spacing w:after="0" w:line="240" w:lineRule="auto"/>
        <w:rPr>
          <w:rFonts w:ascii="Times New Roman" w:eastAsia="Times New Roman" w:hAnsi="Times New Roman" w:cs="Times New Roman"/>
          <w:color w:val="000000"/>
          <w:sz w:val="26"/>
          <w:szCs w:val="26"/>
          <w:lang w:eastAsia="bg-BG"/>
        </w:rPr>
      </w:pPr>
      <w:r w:rsidRPr="0017252C">
        <w:rPr>
          <w:rFonts w:ascii="Times New Roman" w:eastAsia="Times New Roman" w:hAnsi="Times New Roman" w:cs="Times New Roman"/>
          <w:color w:val="000000"/>
          <w:sz w:val="26"/>
          <w:szCs w:val="26"/>
          <w:lang w:eastAsia="bg-BG"/>
        </w:rPr>
        <w:t>2. отчетност;</w:t>
      </w:r>
    </w:p>
    <w:p w:rsidR="00644C79" w:rsidRDefault="00B77A4E" w:rsidP="0017252C">
      <w:pPr>
        <w:spacing w:after="0" w:line="240" w:lineRule="auto"/>
        <w:rPr>
          <w:rFonts w:ascii="Times New Roman" w:eastAsia="Times New Roman" w:hAnsi="Times New Roman" w:cs="Times New Roman"/>
          <w:color w:val="000000"/>
          <w:sz w:val="26"/>
          <w:szCs w:val="26"/>
          <w:lang w:eastAsia="bg-BG"/>
        </w:rPr>
      </w:pPr>
      <w:r>
        <w:rPr>
          <w:rFonts w:ascii="Times New Roman" w:eastAsia="Times New Roman" w:hAnsi="Times New Roman" w:cs="Times New Roman"/>
          <w:color w:val="000000"/>
          <w:sz w:val="26"/>
          <w:szCs w:val="26"/>
          <w:lang w:eastAsia="bg-BG"/>
        </w:rPr>
        <w:t>3</w:t>
      </w:r>
      <w:r w:rsidR="0017252C" w:rsidRPr="0017252C">
        <w:rPr>
          <w:rFonts w:ascii="Times New Roman" w:eastAsia="Times New Roman" w:hAnsi="Times New Roman" w:cs="Times New Roman"/>
          <w:color w:val="000000"/>
          <w:sz w:val="26"/>
          <w:szCs w:val="26"/>
          <w:lang w:eastAsia="bg-BG"/>
        </w:rPr>
        <w:t>. видовете санкции при нарушаване на договорите</w:t>
      </w:r>
      <w:r>
        <w:rPr>
          <w:rFonts w:ascii="Times New Roman" w:eastAsia="Times New Roman" w:hAnsi="Times New Roman" w:cs="Times New Roman"/>
          <w:color w:val="000000"/>
          <w:sz w:val="26"/>
          <w:szCs w:val="26"/>
          <w:lang w:eastAsia="bg-BG"/>
        </w:rPr>
        <w:t>, както и реда за налагането им;</w:t>
      </w:r>
    </w:p>
    <w:p w:rsidR="00B77A4E" w:rsidRPr="008B2977" w:rsidRDefault="00B77A4E" w:rsidP="0017252C">
      <w:pPr>
        <w:spacing w:after="0" w:line="240" w:lineRule="auto"/>
        <w:rPr>
          <w:rFonts w:ascii="Times New Roman" w:eastAsia="Times New Roman" w:hAnsi="Times New Roman" w:cs="Times New Roman"/>
          <w:color w:val="000000"/>
          <w:sz w:val="26"/>
          <w:szCs w:val="26"/>
          <w:lang w:eastAsia="bg-BG"/>
        </w:rPr>
      </w:pPr>
      <w:r>
        <w:rPr>
          <w:rFonts w:ascii="Times New Roman" w:eastAsia="Times New Roman" w:hAnsi="Times New Roman" w:cs="Times New Roman"/>
          <w:color w:val="000000"/>
          <w:sz w:val="26"/>
          <w:szCs w:val="26"/>
          <w:lang w:eastAsia="bg-BG"/>
        </w:rPr>
        <w:t>4. съдържанието на типовите индивидуални договори по образец, които се сключват с търговците на дребно.</w:t>
      </w:r>
    </w:p>
    <w:p w:rsidR="0017252C" w:rsidRPr="008B2977" w:rsidRDefault="0017252C" w:rsidP="0017252C">
      <w:pPr>
        <w:spacing w:after="0" w:line="240" w:lineRule="auto"/>
        <w:rPr>
          <w:rFonts w:ascii="Times New Roman" w:eastAsia="Times New Roman" w:hAnsi="Times New Roman" w:cs="Times New Roman"/>
          <w:color w:val="000000"/>
          <w:sz w:val="26"/>
          <w:szCs w:val="26"/>
          <w:lang w:eastAsia="bg-BG"/>
        </w:rPr>
      </w:pPr>
    </w:p>
    <w:p w:rsidR="008B2977" w:rsidRPr="008B2977" w:rsidRDefault="001253C7" w:rsidP="008B2977">
      <w:pPr>
        <w:widowControl w:val="0"/>
        <w:autoSpaceDE w:val="0"/>
        <w:autoSpaceDN w:val="0"/>
        <w:adjustRightInd w:val="0"/>
        <w:jc w:val="both"/>
        <w:rPr>
          <w:rFonts w:ascii="Times New Roman" w:eastAsia="SimSun" w:hAnsi="Times New Roman" w:cs="Times New Roman"/>
          <w:bCs/>
          <w:sz w:val="26"/>
          <w:szCs w:val="26"/>
          <w:lang w:eastAsia="zh-CN"/>
        </w:rPr>
      </w:pPr>
      <w:r w:rsidRPr="008B2977">
        <w:rPr>
          <w:rFonts w:ascii="Times New Roman" w:eastAsia="Times New Roman" w:hAnsi="Times New Roman" w:cs="Times New Roman"/>
          <w:color w:val="000000"/>
          <w:sz w:val="26"/>
          <w:szCs w:val="26"/>
          <w:lang w:eastAsia="bg-BG"/>
        </w:rPr>
        <w:tab/>
      </w:r>
      <w:r w:rsidR="00644C79" w:rsidRPr="008B2977">
        <w:rPr>
          <w:rFonts w:ascii="Times New Roman" w:eastAsia="Times New Roman" w:hAnsi="Times New Roman" w:cs="Times New Roman"/>
          <w:color w:val="000000"/>
          <w:sz w:val="26"/>
          <w:szCs w:val="26"/>
          <w:lang w:eastAsia="bg-BG"/>
        </w:rPr>
        <w:t xml:space="preserve">Условията и реда съдържат приложения по образец, едно от които е образец на договор </w:t>
      </w:r>
      <w:r w:rsidR="00644C79" w:rsidRPr="008B2977">
        <w:rPr>
          <w:rFonts w:ascii="Times New Roman" w:eastAsia="SimSun" w:hAnsi="Times New Roman" w:cs="Times New Roman"/>
          <w:bCs/>
          <w:sz w:val="26"/>
          <w:szCs w:val="26"/>
          <w:lang w:eastAsia="zh-CN"/>
        </w:rPr>
        <w:t>за отпускане на лекарствени продукти, медицински изделия и диетични храни за специални медицински цели за домашно лечение, заплащани напълно или частично от НЗОК/РЗОК. Съдържанието на договора е съгласувано с това на Условията и реда.</w:t>
      </w:r>
    </w:p>
    <w:p w:rsidR="00B77A4E" w:rsidRDefault="008B2977" w:rsidP="001253C7">
      <w:pPr>
        <w:widowControl w:val="0"/>
        <w:autoSpaceDE w:val="0"/>
        <w:autoSpaceDN w:val="0"/>
        <w:adjustRightInd w:val="0"/>
        <w:jc w:val="both"/>
        <w:rPr>
          <w:rFonts w:ascii="Times New Roman" w:eastAsia="Times New Roman" w:hAnsi="Times New Roman" w:cs="Times New Roman"/>
          <w:color w:val="000000"/>
          <w:sz w:val="26"/>
          <w:szCs w:val="26"/>
          <w:lang w:eastAsia="bg-BG"/>
        </w:rPr>
      </w:pPr>
      <w:r w:rsidRPr="008B2977">
        <w:rPr>
          <w:rFonts w:ascii="Times New Roman" w:eastAsia="SimSun" w:hAnsi="Times New Roman" w:cs="Times New Roman"/>
          <w:bCs/>
          <w:sz w:val="26"/>
          <w:szCs w:val="26"/>
          <w:lang w:eastAsia="zh-CN"/>
        </w:rPr>
        <w:lastRenderedPageBreak/>
        <w:tab/>
      </w:r>
      <w:r w:rsidR="002B08D2" w:rsidRPr="008B2977">
        <w:rPr>
          <w:rFonts w:ascii="Times New Roman" w:eastAsia="Times New Roman" w:hAnsi="Times New Roman" w:cs="Times New Roman"/>
          <w:color w:val="000000"/>
          <w:sz w:val="26"/>
          <w:szCs w:val="26"/>
          <w:lang w:eastAsia="bg-BG"/>
        </w:rPr>
        <w:t xml:space="preserve"> </w:t>
      </w:r>
      <w:r w:rsidR="00B77A4E">
        <w:rPr>
          <w:rFonts w:ascii="Times New Roman" w:eastAsia="Times New Roman" w:hAnsi="Times New Roman" w:cs="Times New Roman"/>
          <w:color w:val="000000"/>
          <w:sz w:val="26"/>
          <w:szCs w:val="26"/>
          <w:lang w:eastAsia="bg-BG"/>
        </w:rPr>
        <w:t xml:space="preserve">На първо място, с акта по изменение се продължава срока на действащите Условия и ред, които по силата на </w:t>
      </w:r>
      <w:r w:rsidR="00F22E0B">
        <w:rPr>
          <w:rFonts w:ascii="Times New Roman" w:eastAsia="Times New Roman" w:hAnsi="Times New Roman" w:cs="Times New Roman"/>
          <w:color w:val="000000"/>
          <w:sz w:val="26"/>
          <w:szCs w:val="26"/>
          <w:lang w:eastAsia="bg-BG"/>
        </w:rPr>
        <w:t>чл.51, ал.2 имат действие до 31.03.201</w:t>
      </w:r>
      <w:r w:rsidR="00656F16">
        <w:rPr>
          <w:rFonts w:ascii="Times New Roman" w:eastAsia="Times New Roman" w:hAnsi="Times New Roman" w:cs="Times New Roman"/>
          <w:color w:val="000000"/>
          <w:sz w:val="26"/>
          <w:szCs w:val="26"/>
          <w:lang w:eastAsia="bg-BG"/>
        </w:rPr>
        <w:t>8</w:t>
      </w:r>
      <w:r w:rsidR="00F22E0B">
        <w:rPr>
          <w:rFonts w:ascii="Times New Roman" w:eastAsia="Times New Roman" w:hAnsi="Times New Roman" w:cs="Times New Roman"/>
          <w:color w:val="000000"/>
          <w:sz w:val="26"/>
          <w:szCs w:val="26"/>
          <w:lang w:eastAsia="bg-BG"/>
        </w:rPr>
        <w:t>г. Съответно, сключените на тяхно основание индивидуални договори по Приложение № 3 към Условията и реда, също, имат ограничено действие до 31.03.201</w:t>
      </w:r>
      <w:r w:rsidR="00656F16">
        <w:rPr>
          <w:rFonts w:ascii="Times New Roman" w:eastAsia="Times New Roman" w:hAnsi="Times New Roman" w:cs="Times New Roman"/>
          <w:color w:val="000000"/>
          <w:sz w:val="26"/>
          <w:szCs w:val="26"/>
          <w:lang w:eastAsia="bg-BG"/>
        </w:rPr>
        <w:t>8</w:t>
      </w:r>
      <w:r w:rsidR="00F22E0B">
        <w:rPr>
          <w:rFonts w:ascii="Times New Roman" w:eastAsia="Times New Roman" w:hAnsi="Times New Roman" w:cs="Times New Roman"/>
          <w:color w:val="000000"/>
          <w:sz w:val="26"/>
          <w:szCs w:val="26"/>
          <w:lang w:eastAsia="bg-BG"/>
        </w:rPr>
        <w:t>г. Последното налага в срок до 31.03.201</w:t>
      </w:r>
      <w:r w:rsidR="00656F16">
        <w:rPr>
          <w:rFonts w:ascii="Times New Roman" w:eastAsia="Times New Roman" w:hAnsi="Times New Roman" w:cs="Times New Roman"/>
          <w:color w:val="000000"/>
          <w:sz w:val="26"/>
          <w:szCs w:val="26"/>
          <w:lang w:eastAsia="bg-BG"/>
        </w:rPr>
        <w:t>8</w:t>
      </w:r>
      <w:r w:rsidR="00F22E0B">
        <w:rPr>
          <w:rFonts w:ascii="Times New Roman" w:eastAsia="Times New Roman" w:hAnsi="Times New Roman" w:cs="Times New Roman"/>
          <w:color w:val="000000"/>
          <w:sz w:val="26"/>
          <w:szCs w:val="26"/>
          <w:lang w:eastAsia="bg-BG"/>
        </w:rPr>
        <w:t>г. да се издаде подзаконов акт по изменение и допълнение на Условията и реда като се продължи срока им с още една година. В противен случай, считано от 01.04.201</w:t>
      </w:r>
      <w:r w:rsidR="00656F16">
        <w:rPr>
          <w:rFonts w:ascii="Times New Roman" w:eastAsia="Times New Roman" w:hAnsi="Times New Roman" w:cs="Times New Roman"/>
          <w:color w:val="000000"/>
          <w:sz w:val="26"/>
          <w:szCs w:val="26"/>
          <w:lang w:eastAsia="bg-BG"/>
        </w:rPr>
        <w:t>8</w:t>
      </w:r>
      <w:r w:rsidR="00F22E0B">
        <w:rPr>
          <w:rFonts w:ascii="Times New Roman" w:eastAsia="Times New Roman" w:hAnsi="Times New Roman" w:cs="Times New Roman"/>
          <w:color w:val="000000"/>
          <w:sz w:val="26"/>
          <w:szCs w:val="26"/>
          <w:lang w:eastAsia="bg-BG"/>
        </w:rPr>
        <w:t xml:space="preserve">г. НЗОК няма да има основание и ред за заплащане на търговците на дребно на лекарствени продукти за извършени дейности по </w:t>
      </w:r>
      <w:r w:rsidR="00F22E0B" w:rsidRPr="008B2977">
        <w:rPr>
          <w:rFonts w:ascii="Times New Roman" w:eastAsia="Times New Roman" w:hAnsi="Times New Roman" w:cs="Times New Roman"/>
          <w:color w:val="000000"/>
          <w:sz w:val="26"/>
          <w:szCs w:val="26"/>
          <w:lang w:eastAsia="bg-BG"/>
        </w:rPr>
        <w:t xml:space="preserve">отпускане на лекарствени продукти по чл.262, ал.6, т.1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w:t>
      </w:r>
      <w:r w:rsidR="00F22E0B">
        <w:rPr>
          <w:rFonts w:ascii="Times New Roman" w:eastAsia="Times New Roman" w:hAnsi="Times New Roman" w:cs="Times New Roman"/>
          <w:color w:val="000000"/>
          <w:sz w:val="26"/>
          <w:szCs w:val="26"/>
          <w:lang w:eastAsia="bg-BG"/>
        </w:rPr>
        <w:t xml:space="preserve">бюджета на </w:t>
      </w:r>
      <w:r w:rsidR="00F22E0B" w:rsidRPr="008B2977">
        <w:rPr>
          <w:rFonts w:ascii="Times New Roman" w:eastAsia="Times New Roman" w:hAnsi="Times New Roman" w:cs="Times New Roman"/>
          <w:color w:val="000000"/>
          <w:sz w:val="26"/>
          <w:szCs w:val="26"/>
          <w:lang w:eastAsia="bg-BG"/>
        </w:rPr>
        <w:t>НЗОК</w:t>
      </w:r>
      <w:r w:rsidR="00F22E0B">
        <w:rPr>
          <w:rFonts w:ascii="Times New Roman" w:eastAsia="Times New Roman" w:hAnsi="Times New Roman" w:cs="Times New Roman"/>
          <w:color w:val="000000"/>
          <w:sz w:val="26"/>
          <w:szCs w:val="26"/>
          <w:lang w:eastAsia="bg-BG"/>
        </w:rPr>
        <w:t xml:space="preserve">. Здравноосигурените лица няма да имат достъп до посочените продукти от обхвата на здравното осигуряване за амбулаторно лечение. </w:t>
      </w:r>
    </w:p>
    <w:p w:rsidR="00656F16" w:rsidRDefault="00656F16" w:rsidP="001253C7">
      <w:pPr>
        <w:widowControl w:val="0"/>
        <w:autoSpaceDE w:val="0"/>
        <w:autoSpaceDN w:val="0"/>
        <w:adjustRightInd w:val="0"/>
        <w:jc w:val="both"/>
        <w:rPr>
          <w:rFonts w:ascii="Times New Roman" w:eastAsia="Times New Roman" w:hAnsi="Times New Roman" w:cs="Times New Roman"/>
          <w:color w:val="000000"/>
          <w:sz w:val="26"/>
          <w:szCs w:val="26"/>
          <w:lang w:eastAsia="bg-BG"/>
        </w:rPr>
      </w:pPr>
      <w:r>
        <w:rPr>
          <w:rFonts w:ascii="Times New Roman" w:eastAsia="Times New Roman" w:hAnsi="Times New Roman" w:cs="Times New Roman"/>
          <w:color w:val="000000"/>
          <w:sz w:val="26"/>
          <w:szCs w:val="26"/>
          <w:lang w:eastAsia="bg-BG"/>
        </w:rPr>
        <w:tab/>
        <w:t xml:space="preserve">На следващо място, внасят се уточнения относно хипотезите, в които </w:t>
      </w:r>
      <w:proofErr w:type="spellStart"/>
      <w:r>
        <w:rPr>
          <w:rFonts w:ascii="Times New Roman" w:eastAsia="Times New Roman" w:hAnsi="Times New Roman" w:cs="Times New Roman"/>
          <w:color w:val="000000"/>
          <w:sz w:val="26"/>
          <w:szCs w:val="26"/>
          <w:lang w:eastAsia="bg-BG"/>
        </w:rPr>
        <w:t>рецептурните</w:t>
      </w:r>
      <w:proofErr w:type="spellEnd"/>
      <w:r>
        <w:rPr>
          <w:rFonts w:ascii="Times New Roman" w:eastAsia="Times New Roman" w:hAnsi="Times New Roman" w:cs="Times New Roman"/>
          <w:color w:val="000000"/>
          <w:sz w:val="26"/>
          <w:szCs w:val="26"/>
          <w:lang w:eastAsia="bg-BG"/>
        </w:rPr>
        <w:t xml:space="preserve"> бланки и протоколи не се изпълняват, както и случаите на налагане на санкции, съответно задължение за възстановяване на неоснователно получени суми от изпълнителите.</w:t>
      </w:r>
    </w:p>
    <w:p w:rsidR="00656F16" w:rsidRDefault="00656F16" w:rsidP="001253C7">
      <w:pPr>
        <w:widowControl w:val="0"/>
        <w:autoSpaceDE w:val="0"/>
        <w:autoSpaceDN w:val="0"/>
        <w:adjustRightInd w:val="0"/>
        <w:jc w:val="both"/>
        <w:rPr>
          <w:rFonts w:ascii="Times New Roman" w:eastAsia="Times New Roman" w:hAnsi="Times New Roman" w:cs="Times New Roman"/>
          <w:color w:val="000000"/>
          <w:sz w:val="26"/>
          <w:szCs w:val="26"/>
          <w:lang w:eastAsia="bg-BG"/>
        </w:rPr>
      </w:pPr>
      <w:r>
        <w:rPr>
          <w:rFonts w:ascii="Times New Roman" w:eastAsia="Times New Roman" w:hAnsi="Times New Roman" w:cs="Times New Roman"/>
          <w:color w:val="000000"/>
          <w:sz w:val="26"/>
          <w:szCs w:val="26"/>
          <w:lang w:eastAsia="bg-BG"/>
        </w:rPr>
        <w:tab/>
        <w:t xml:space="preserve">При липса на попълване на </w:t>
      </w:r>
      <w:proofErr w:type="spellStart"/>
      <w:r>
        <w:rPr>
          <w:rFonts w:ascii="Times New Roman" w:eastAsia="Times New Roman" w:hAnsi="Times New Roman" w:cs="Times New Roman"/>
          <w:color w:val="000000"/>
          <w:sz w:val="26"/>
          <w:szCs w:val="26"/>
          <w:lang w:eastAsia="bg-BG"/>
        </w:rPr>
        <w:t>рецептурната</w:t>
      </w:r>
      <w:proofErr w:type="spellEnd"/>
      <w:r>
        <w:rPr>
          <w:rFonts w:ascii="Times New Roman" w:eastAsia="Times New Roman" w:hAnsi="Times New Roman" w:cs="Times New Roman"/>
          <w:color w:val="000000"/>
          <w:sz w:val="26"/>
          <w:szCs w:val="26"/>
          <w:lang w:eastAsia="bg-BG"/>
        </w:rPr>
        <w:t xml:space="preserve"> книжка, на който случай е приравнено нечетливото попълване, както и при издаване на </w:t>
      </w:r>
      <w:proofErr w:type="spellStart"/>
      <w:r>
        <w:rPr>
          <w:rFonts w:ascii="Times New Roman" w:eastAsia="Times New Roman" w:hAnsi="Times New Roman" w:cs="Times New Roman"/>
          <w:color w:val="000000"/>
          <w:sz w:val="26"/>
          <w:szCs w:val="26"/>
          <w:lang w:eastAsia="bg-BG"/>
        </w:rPr>
        <w:t>рецептурна</w:t>
      </w:r>
      <w:proofErr w:type="spellEnd"/>
      <w:r>
        <w:rPr>
          <w:rFonts w:ascii="Times New Roman" w:eastAsia="Times New Roman" w:hAnsi="Times New Roman" w:cs="Times New Roman"/>
          <w:color w:val="000000"/>
          <w:sz w:val="26"/>
          <w:szCs w:val="26"/>
          <w:lang w:eastAsia="bg-BG"/>
        </w:rPr>
        <w:t xml:space="preserve"> бланка извън срока на валидност на протокола за напълно платени лекарствени продукти, изпълнителите не следва да изпълняват предписанията. Това се основава на изискванията за законосъобразност при разходване на публични средства от бюджета на НЗОК. При предписване на продукти извън обхвата на срока на амбулаторното лечение или при липса на попълване на </w:t>
      </w:r>
      <w:proofErr w:type="spellStart"/>
      <w:r>
        <w:rPr>
          <w:rFonts w:ascii="Times New Roman" w:eastAsia="Times New Roman" w:hAnsi="Times New Roman" w:cs="Times New Roman"/>
          <w:color w:val="000000"/>
          <w:sz w:val="26"/>
          <w:szCs w:val="26"/>
          <w:lang w:eastAsia="bg-BG"/>
        </w:rPr>
        <w:t>рецептурната</w:t>
      </w:r>
      <w:proofErr w:type="spellEnd"/>
      <w:r>
        <w:rPr>
          <w:rFonts w:ascii="Times New Roman" w:eastAsia="Times New Roman" w:hAnsi="Times New Roman" w:cs="Times New Roman"/>
          <w:color w:val="000000"/>
          <w:sz w:val="26"/>
          <w:szCs w:val="26"/>
          <w:lang w:eastAsia="bg-BG"/>
        </w:rPr>
        <w:t xml:space="preserve"> книжка съгласно изискванията на Национален рамков договор за медицинските дейности, не е изпълнен фактическият състав на отпускане на продуктите.</w:t>
      </w:r>
    </w:p>
    <w:p w:rsidR="00656F16" w:rsidRDefault="00656F16" w:rsidP="001253C7">
      <w:pPr>
        <w:widowControl w:val="0"/>
        <w:autoSpaceDE w:val="0"/>
        <w:autoSpaceDN w:val="0"/>
        <w:adjustRightInd w:val="0"/>
        <w:jc w:val="both"/>
        <w:rPr>
          <w:rFonts w:ascii="Times New Roman" w:eastAsia="Times New Roman" w:hAnsi="Times New Roman" w:cs="Times New Roman"/>
          <w:color w:val="000000"/>
          <w:sz w:val="26"/>
          <w:szCs w:val="26"/>
          <w:lang w:eastAsia="bg-BG"/>
        </w:rPr>
      </w:pPr>
      <w:r>
        <w:rPr>
          <w:rFonts w:ascii="Times New Roman" w:eastAsia="Times New Roman" w:hAnsi="Times New Roman" w:cs="Times New Roman"/>
          <w:color w:val="000000"/>
          <w:sz w:val="26"/>
          <w:szCs w:val="26"/>
          <w:lang w:eastAsia="bg-BG"/>
        </w:rPr>
        <w:tab/>
        <w:t>Аналогично, в новите разпоредби на чл.25, ал.1, т.8 и т.9 се поставят ясни критерии за последиците от хипотезите на неправомерно поведение на трети лица по договора (липса на реквизити от страна на изпълнителя на медицинска помощ или подпис на пациента) и поведението на изпълнителя. В последния случай, тъй като предписанието е валидно и е налице подпис на пациента, не се изисква възстановяване на получените стойности на продуктите от изпълнителя, каквато е практиката до момента.</w:t>
      </w:r>
    </w:p>
    <w:p w:rsidR="00656F16" w:rsidRDefault="00656F16" w:rsidP="001253C7">
      <w:pPr>
        <w:widowControl w:val="0"/>
        <w:autoSpaceDE w:val="0"/>
        <w:autoSpaceDN w:val="0"/>
        <w:adjustRightInd w:val="0"/>
        <w:jc w:val="both"/>
        <w:rPr>
          <w:rFonts w:ascii="Times New Roman" w:eastAsia="Times New Roman" w:hAnsi="Times New Roman" w:cs="Times New Roman"/>
          <w:color w:val="000000"/>
          <w:sz w:val="26"/>
          <w:szCs w:val="26"/>
          <w:lang w:eastAsia="bg-BG"/>
        </w:rPr>
      </w:pPr>
      <w:r>
        <w:rPr>
          <w:rFonts w:ascii="Times New Roman" w:eastAsia="Times New Roman" w:hAnsi="Times New Roman" w:cs="Times New Roman"/>
          <w:color w:val="000000"/>
          <w:sz w:val="26"/>
          <w:szCs w:val="26"/>
          <w:lang w:eastAsia="bg-BG"/>
        </w:rPr>
        <w:tab/>
        <w:t>Налице са правно – технически изменения, които не въвеждат нови права и задължения за страните по договорите и които са в две насоки – промяна на систематичното място на разпоредбите (</w:t>
      </w:r>
      <w:r w:rsidR="00B723AE">
        <w:rPr>
          <w:rFonts w:ascii="Times New Roman" w:eastAsia="Times New Roman" w:hAnsi="Times New Roman" w:cs="Times New Roman"/>
          <w:color w:val="000000"/>
          <w:sz w:val="26"/>
          <w:szCs w:val="26"/>
          <w:lang w:eastAsia="bg-BG"/>
        </w:rPr>
        <w:t>чл.7, ал.3а и ал.6</w:t>
      </w:r>
      <w:r>
        <w:rPr>
          <w:rFonts w:ascii="Times New Roman" w:eastAsia="Times New Roman" w:hAnsi="Times New Roman" w:cs="Times New Roman"/>
          <w:color w:val="000000"/>
          <w:sz w:val="26"/>
          <w:szCs w:val="26"/>
          <w:lang w:eastAsia="bg-BG"/>
        </w:rPr>
        <w:t>)</w:t>
      </w:r>
      <w:r w:rsidR="00B723AE">
        <w:rPr>
          <w:rFonts w:ascii="Times New Roman" w:eastAsia="Times New Roman" w:hAnsi="Times New Roman" w:cs="Times New Roman"/>
          <w:color w:val="000000"/>
          <w:sz w:val="26"/>
          <w:szCs w:val="26"/>
          <w:lang w:eastAsia="bg-BG"/>
        </w:rPr>
        <w:t xml:space="preserve"> в рамките на Приложение </w:t>
      </w:r>
      <w:r w:rsidR="00B723AE">
        <w:rPr>
          <w:rFonts w:ascii="Times New Roman" w:eastAsia="Times New Roman" w:hAnsi="Times New Roman" w:cs="Times New Roman"/>
          <w:color w:val="000000"/>
          <w:sz w:val="26"/>
          <w:szCs w:val="26"/>
          <w:lang w:eastAsia="bg-BG"/>
        </w:rPr>
        <w:lastRenderedPageBreak/>
        <w:t xml:space="preserve">№ 3 и езикова и граматична редакция, които подобряват правоприлагането на акта (чл.11, ал.1, чл.14, ал.2, </w:t>
      </w:r>
      <w:r w:rsidR="00B723AE" w:rsidRPr="00B723AE">
        <w:rPr>
          <w:rFonts w:ascii="Times New Roman" w:eastAsia="Times New Roman" w:hAnsi="Times New Roman" w:cs="Times New Roman"/>
          <w:color w:val="000000"/>
          <w:sz w:val="26"/>
          <w:szCs w:val="26"/>
          <w:lang w:eastAsia="bg-BG"/>
        </w:rPr>
        <w:t>чл. 19, ал. 1, б. „а“</w:t>
      </w:r>
      <w:r w:rsidR="00B723AE">
        <w:rPr>
          <w:rFonts w:ascii="Times New Roman" w:eastAsia="Times New Roman" w:hAnsi="Times New Roman" w:cs="Times New Roman"/>
          <w:color w:val="000000"/>
          <w:sz w:val="26"/>
          <w:szCs w:val="26"/>
          <w:lang w:eastAsia="bg-BG"/>
        </w:rPr>
        <w:t>, чл.31, ал.1).</w:t>
      </w:r>
    </w:p>
    <w:p w:rsidR="00B723AE" w:rsidRDefault="00B723AE" w:rsidP="00B723AE">
      <w:pPr>
        <w:tabs>
          <w:tab w:val="left" w:pos="0"/>
        </w:tabs>
        <w:autoSpaceDE w:val="0"/>
        <w:autoSpaceDN w:val="0"/>
        <w:adjustRightInd w:val="0"/>
        <w:ind w:firstLine="540"/>
        <w:jc w:val="both"/>
        <w:rPr>
          <w:rFonts w:ascii="Times New Roman" w:eastAsia="Times New Roman" w:hAnsi="Times New Roman" w:cs="Times New Roman"/>
          <w:color w:val="000000"/>
          <w:sz w:val="26"/>
          <w:szCs w:val="26"/>
          <w:lang w:eastAsia="bg-BG"/>
        </w:rPr>
      </w:pPr>
      <w:r>
        <w:rPr>
          <w:rFonts w:ascii="Times New Roman" w:eastAsia="Times New Roman" w:hAnsi="Times New Roman" w:cs="Times New Roman"/>
          <w:color w:val="000000"/>
          <w:sz w:val="26"/>
          <w:szCs w:val="26"/>
          <w:lang w:eastAsia="bg-BG"/>
        </w:rPr>
        <w:tab/>
        <w:t xml:space="preserve">С оглед обезпечаване на </w:t>
      </w:r>
      <w:proofErr w:type="spellStart"/>
      <w:r>
        <w:rPr>
          <w:rFonts w:ascii="Times New Roman" w:eastAsia="Times New Roman" w:hAnsi="Times New Roman" w:cs="Times New Roman"/>
          <w:color w:val="000000"/>
          <w:sz w:val="26"/>
          <w:szCs w:val="26"/>
          <w:lang w:eastAsia="bg-BG"/>
        </w:rPr>
        <w:t>проследимост</w:t>
      </w:r>
      <w:proofErr w:type="spellEnd"/>
      <w:r>
        <w:rPr>
          <w:rFonts w:ascii="Times New Roman" w:eastAsia="Times New Roman" w:hAnsi="Times New Roman" w:cs="Times New Roman"/>
          <w:color w:val="000000"/>
          <w:sz w:val="26"/>
          <w:szCs w:val="26"/>
          <w:lang w:eastAsia="bg-BG"/>
        </w:rPr>
        <w:t xml:space="preserve"> на разходването на публични средства и изискванията на данъчното законодателство се внася изискване </w:t>
      </w:r>
      <w:r w:rsidRPr="00B723AE">
        <w:rPr>
          <w:rFonts w:ascii="Times New Roman" w:eastAsia="Times New Roman" w:hAnsi="Times New Roman" w:cs="Times New Roman"/>
          <w:color w:val="000000"/>
          <w:sz w:val="26"/>
          <w:szCs w:val="26"/>
          <w:lang w:eastAsia="bg-BG"/>
        </w:rPr>
        <w:t xml:space="preserve">данните от фискалния бон за отпуснатите ЛП, МИ и ДХ, да съответстват на данните, въведени в аптечния софтуер на аптеката и данните от </w:t>
      </w:r>
      <w:proofErr w:type="spellStart"/>
      <w:r w:rsidRPr="00B723AE">
        <w:rPr>
          <w:rFonts w:ascii="Times New Roman" w:eastAsia="Times New Roman" w:hAnsi="Times New Roman" w:cs="Times New Roman"/>
          <w:color w:val="000000"/>
          <w:sz w:val="26"/>
          <w:szCs w:val="26"/>
          <w:lang w:eastAsia="bg-BG"/>
        </w:rPr>
        <w:t>рецептурната</w:t>
      </w:r>
      <w:proofErr w:type="spellEnd"/>
      <w:r w:rsidRPr="00B723AE">
        <w:rPr>
          <w:rFonts w:ascii="Times New Roman" w:eastAsia="Times New Roman" w:hAnsi="Times New Roman" w:cs="Times New Roman"/>
          <w:color w:val="000000"/>
          <w:sz w:val="26"/>
          <w:szCs w:val="26"/>
          <w:lang w:eastAsia="bg-BG"/>
        </w:rPr>
        <w:t xml:space="preserve"> бланка.</w:t>
      </w:r>
      <w:r>
        <w:rPr>
          <w:rFonts w:ascii="Times New Roman" w:eastAsia="Times New Roman" w:hAnsi="Times New Roman" w:cs="Times New Roman"/>
          <w:color w:val="000000"/>
          <w:sz w:val="26"/>
          <w:szCs w:val="26"/>
          <w:lang w:eastAsia="bg-BG"/>
        </w:rPr>
        <w:t>Това е общо тенденция в регулирането на дейностите по отчитане на продажба на стоки със специализиран складов софтуер.</w:t>
      </w:r>
    </w:p>
    <w:p w:rsidR="00B723AE" w:rsidRDefault="00B723AE" w:rsidP="00B723AE">
      <w:pPr>
        <w:tabs>
          <w:tab w:val="left" w:pos="0"/>
        </w:tabs>
        <w:autoSpaceDE w:val="0"/>
        <w:autoSpaceDN w:val="0"/>
        <w:adjustRightInd w:val="0"/>
        <w:ind w:firstLine="540"/>
        <w:jc w:val="both"/>
        <w:rPr>
          <w:rFonts w:ascii="Times New Roman" w:eastAsia="Times New Roman" w:hAnsi="Times New Roman" w:cs="Times New Roman"/>
          <w:color w:val="000000"/>
          <w:sz w:val="26"/>
          <w:szCs w:val="26"/>
          <w:lang w:eastAsia="bg-BG"/>
        </w:rPr>
      </w:pPr>
      <w:r>
        <w:rPr>
          <w:rFonts w:ascii="Times New Roman" w:eastAsia="Times New Roman" w:hAnsi="Times New Roman" w:cs="Times New Roman"/>
          <w:color w:val="000000"/>
          <w:sz w:val="26"/>
          <w:szCs w:val="26"/>
          <w:lang w:eastAsia="bg-BG"/>
        </w:rPr>
        <w:tab/>
        <w:t xml:space="preserve">Въвеждат се засилени санкции за поведение, което препятства извършването на контрол по изпълнението на договорите от страна на изпълнителите, като се разграничават съставите на пълен отказ на контролните органи на НЗОК до помещенията на аптеките и неоказване на друго съдействие в хода на проверката – непредставяне на данни и документи. </w:t>
      </w:r>
    </w:p>
    <w:p w:rsidR="00B77A4E" w:rsidRPr="003224D7" w:rsidRDefault="00F22E0B" w:rsidP="00F22E0B">
      <w:pPr>
        <w:pStyle w:val="ListParagraph"/>
        <w:widowControl w:val="0"/>
        <w:numPr>
          <w:ilvl w:val="0"/>
          <w:numId w:val="3"/>
        </w:numPr>
        <w:autoSpaceDE w:val="0"/>
        <w:autoSpaceDN w:val="0"/>
        <w:adjustRightInd w:val="0"/>
        <w:jc w:val="both"/>
        <w:rPr>
          <w:rFonts w:ascii="Times New Roman" w:eastAsia="Times New Roman" w:hAnsi="Times New Roman" w:cs="Times New Roman"/>
          <w:b/>
          <w:color w:val="000000"/>
          <w:sz w:val="26"/>
          <w:szCs w:val="26"/>
          <w:lang w:eastAsia="bg-BG"/>
        </w:rPr>
      </w:pPr>
      <w:r w:rsidRPr="003224D7">
        <w:rPr>
          <w:rFonts w:ascii="Times New Roman" w:eastAsia="Times New Roman" w:hAnsi="Times New Roman" w:cs="Times New Roman"/>
          <w:b/>
          <w:color w:val="000000"/>
          <w:sz w:val="26"/>
          <w:szCs w:val="26"/>
          <w:lang w:eastAsia="bg-BG"/>
        </w:rPr>
        <w:t>Цели на уредбата.</w:t>
      </w:r>
    </w:p>
    <w:p w:rsidR="00656F16" w:rsidRDefault="00656F16" w:rsidP="00F22E0B">
      <w:pPr>
        <w:pStyle w:val="ListParagraph"/>
        <w:widowControl w:val="0"/>
        <w:autoSpaceDE w:val="0"/>
        <w:autoSpaceDN w:val="0"/>
        <w:adjustRightInd w:val="0"/>
        <w:ind w:left="0"/>
        <w:jc w:val="both"/>
        <w:rPr>
          <w:rFonts w:ascii="Times New Roman" w:eastAsia="Times New Roman" w:hAnsi="Times New Roman" w:cs="Times New Roman"/>
          <w:color w:val="000000"/>
          <w:sz w:val="26"/>
          <w:szCs w:val="26"/>
          <w:lang w:eastAsia="bg-BG"/>
        </w:rPr>
      </w:pPr>
    </w:p>
    <w:p w:rsidR="00CB0488" w:rsidRDefault="00CB0488" w:rsidP="00F22E0B">
      <w:pPr>
        <w:pStyle w:val="ListParagraph"/>
        <w:widowControl w:val="0"/>
        <w:autoSpaceDE w:val="0"/>
        <w:autoSpaceDN w:val="0"/>
        <w:adjustRightInd w:val="0"/>
        <w:ind w:left="0"/>
        <w:jc w:val="both"/>
        <w:rPr>
          <w:rFonts w:ascii="Times New Roman" w:eastAsia="Times New Roman" w:hAnsi="Times New Roman" w:cs="Times New Roman"/>
          <w:color w:val="000000"/>
          <w:sz w:val="26"/>
          <w:szCs w:val="26"/>
          <w:lang w:eastAsia="bg-BG"/>
        </w:rPr>
      </w:pPr>
      <w:r>
        <w:rPr>
          <w:rFonts w:ascii="Times New Roman" w:eastAsia="Times New Roman" w:hAnsi="Times New Roman" w:cs="Times New Roman"/>
          <w:color w:val="000000"/>
          <w:sz w:val="26"/>
          <w:szCs w:val="26"/>
          <w:lang w:eastAsia="bg-BG"/>
        </w:rPr>
        <w:tab/>
        <w:t>Продължаването на срока на действие на Условията и реда, както и на сключените на тяхно основание, индивидуални договори имат за цел да осигурят достъпа на пациентите до продукти за амбулаторно лечение, заплащани от бюджета на НЗОК.</w:t>
      </w:r>
    </w:p>
    <w:p w:rsidR="00CB0488" w:rsidRDefault="00CB0488" w:rsidP="00F22E0B">
      <w:pPr>
        <w:pStyle w:val="ListParagraph"/>
        <w:widowControl w:val="0"/>
        <w:autoSpaceDE w:val="0"/>
        <w:autoSpaceDN w:val="0"/>
        <w:adjustRightInd w:val="0"/>
        <w:ind w:left="0"/>
        <w:jc w:val="both"/>
        <w:rPr>
          <w:rFonts w:ascii="Times New Roman" w:eastAsia="Times New Roman" w:hAnsi="Times New Roman" w:cs="Times New Roman"/>
          <w:color w:val="000000"/>
          <w:sz w:val="26"/>
          <w:szCs w:val="26"/>
          <w:lang w:eastAsia="bg-BG"/>
        </w:rPr>
      </w:pPr>
      <w:r>
        <w:rPr>
          <w:rFonts w:ascii="Times New Roman" w:eastAsia="Times New Roman" w:hAnsi="Times New Roman" w:cs="Times New Roman"/>
          <w:color w:val="000000"/>
          <w:sz w:val="26"/>
          <w:szCs w:val="26"/>
          <w:lang w:eastAsia="bg-BG"/>
        </w:rPr>
        <w:tab/>
        <w:t>Проектът предвижда отпадането на изискванията</w:t>
      </w:r>
      <w:r w:rsidR="00B723AE">
        <w:rPr>
          <w:rFonts w:ascii="Times New Roman" w:eastAsia="Times New Roman" w:hAnsi="Times New Roman" w:cs="Times New Roman"/>
          <w:color w:val="000000"/>
          <w:sz w:val="26"/>
          <w:szCs w:val="26"/>
          <w:lang w:eastAsia="bg-BG"/>
        </w:rPr>
        <w:t>, които нямат пряко отношение към целта на уредбата на отпускане на продукти за амбулаторно лечение на пациентите</w:t>
      </w:r>
      <w:r w:rsidR="00D755F7">
        <w:rPr>
          <w:rFonts w:ascii="Times New Roman" w:eastAsia="Times New Roman" w:hAnsi="Times New Roman" w:cs="Times New Roman"/>
          <w:color w:val="000000"/>
          <w:sz w:val="26"/>
          <w:szCs w:val="26"/>
          <w:lang w:eastAsia="bg-BG"/>
        </w:rPr>
        <w:t>.</w:t>
      </w:r>
      <w:r w:rsidR="00B723AE">
        <w:rPr>
          <w:rFonts w:ascii="Times New Roman" w:eastAsia="Times New Roman" w:hAnsi="Times New Roman" w:cs="Times New Roman"/>
          <w:color w:val="000000"/>
          <w:sz w:val="26"/>
          <w:szCs w:val="26"/>
          <w:lang w:eastAsia="bg-BG"/>
        </w:rPr>
        <w:t xml:space="preserve"> Пример за това е изискването за идентификация на пациентите с технически средства и вписване в </w:t>
      </w:r>
      <w:proofErr w:type="spellStart"/>
      <w:r w:rsidR="00B723AE">
        <w:rPr>
          <w:rFonts w:ascii="Times New Roman" w:eastAsia="Times New Roman" w:hAnsi="Times New Roman" w:cs="Times New Roman"/>
          <w:color w:val="000000"/>
          <w:sz w:val="26"/>
          <w:szCs w:val="26"/>
          <w:lang w:eastAsia="bg-BG"/>
        </w:rPr>
        <w:t>рецуптерната</w:t>
      </w:r>
      <w:proofErr w:type="spellEnd"/>
      <w:r w:rsidR="00B723AE">
        <w:rPr>
          <w:rFonts w:ascii="Times New Roman" w:eastAsia="Times New Roman" w:hAnsi="Times New Roman" w:cs="Times New Roman"/>
          <w:color w:val="000000"/>
          <w:sz w:val="26"/>
          <w:szCs w:val="26"/>
          <w:lang w:eastAsia="bg-BG"/>
        </w:rPr>
        <w:t xml:space="preserve"> бланка на </w:t>
      </w:r>
      <w:r w:rsidR="00B723AE" w:rsidRPr="00B723AE">
        <w:rPr>
          <w:rFonts w:ascii="Times New Roman" w:eastAsia="Times New Roman" w:hAnsi="Times New Roman" w:cs="Times New Roman"/>
          <w:color w:val="000000"/>
          <w:sz w:val="26"/>
          <w:szCs w:val="26"/>
          <w:lang w:eastAsia="bg-BG"/>
        </w:rPr>
        <w:t xml:space="preserve">трите имена и данните от документа на самоличност на приносителя на рецептата. </w:t>
      </w:r>
    </w:p>
    <w:p w:rsidR="00823005" w:rsidRDefault="00D755F7" w:rsidP="00823005">
      <w:pPr>
        <w:pStyle w:val="ListParagraph"/>
        <w:widowControl w:val="0"/>
        <w:autoSpaceDE w:val="0"/>
        <w:autoSpaceDN w:val="0"/>
        <w:adjustRightInd w:val="0"/>
        <w:ind w:left="0"/>
        <w:jc w:val="both"/>
        <w:rPr>
          <w:rFonts w:ascii="Times New Roman" w:eastAsia="Times New Roman" w:hAnsi="Times New Roman" w:cs="Times New Roman"/>
          <w:color w:val="000000"/>
          <w:sz w:val="26"/>
          <w:szCs w:val="26"/>
          <w:lang w:eastAsia="bg-BG"/>
        </w:rPr>
      </w:pPr>
      <w:r>
        <w:rPr>
          <w:rFonts w:ascii="Times New Roman" w:eastAsia="Times New Roman" w:hAnsi="Times New Roman" w:cs="Times New Roman"/>
          <w:color w:val="000000"/>
          <w:sz w:val="26"/>
          <w:szCs w:val="26"/>
          <w:lang w:eastAsia="bg-BG"/>
        </w:rPr>
        <w:tab/>
        <w:t xml:space="preserve">В частта със санкциите за нарушение на договорите, </w:t>
      </w:r>
      <w:r w:rsidR="00823005">
        <w:rPr>
          <w:rFonts w:ascii="Times New Roman" w:eastAsia="Times New Roman" w:hAnsi="Times New Roman" w:cs="Times New Roman"/>
          <w:color w:val="000000"/>
          <w:sz w:val="26"/>
          <w:szCs w:val="26"/>
          <w:lang w:eastAsia="bg-BG"/>
        </w:rPr>
        <w:t>са въведени нови диференцирани размери на санкции – финансови неустойки, за обезпечаване контрола по изпълнението на договорите</w:t>
      </w:r>
      <w:r>
        <w:rPr>
          <w:rFonts w:ascii="Times New Roman" w:eastAsia="Times New Roman" w:hAnsi="Times New Roman" w:cs="Times New Roman"/>
          <w:color w:val="000000"/>
          <w:sz w:val="26"/>
          <w:szCs w:val="26"/>
          <w:lang w:eastAsia="bg-BG"/>
        </w:rPr>
        <w:t>.</w:t>
      </w:r>
      <w:r w:rsidR="00823005">
        <w:rPr>
          <w:rFonts w:ascii="Times New Roman" w:eastAsia="Times New Roman" w:hAnsi="Times New Roman" w:cs="Times New Roman"/>
          <w:color w:val="000000"/>
          <w:sz w:val="26"/>
          <w:szCs w:val="26"/>
          <w:lang w:eastAsia="bg-BG"/>
        </w:rPr>
        <w:t xml:space="preserve"> Размерът на санкциите е завишен спрямо общия размер на санкциите като парична стойност, тъй като изпълнителите имат интерес да възпрепятстват цялостния контрол предвид ниския размер на санкциите за неоказване на съдействие на длъжностните лица от НЗОК. </w:t>
      </w:r>
    </w:p>
    <w:p w:rsidR="00823005" w:rsidRDefault="00823005" w:rsidP="00823005">
      <w:pPr>
        <w:pStyle w:val="ListParagraph"/>
        <w:widowControl w:val="0"/>
        <w:autoSpaceDE w:val="0"/>
        <w:autoSpaceDN w:val="0"/>
        <w:adjustRightInd w:val="0"/>
        <w:ind w:left="0"/>
        <w:jc w:val="both"/>
        <w:rPr>
          <w:rFonts w:ascii="Times New Roman" w:eastAsia="Times New Roman" w:hAnsi="Times New Roman" w:cs="Times New Roman"/>
          <w:color w:val="000000"/>
          <w:sz w:val="26"/>
          <w:szCs w:val="26"/>
          <w:lang w:eastAsia="bg-BG"/>
        </w:rPr>
      </w:pPr>
      <w:r>
        <w:rPr>
          <w:rFonts w:ascii="Times New Roman" w:eastAsia="Times New Roman" w:hAnsi="Times New Roman" w:cs="Times New Roman"/>
          <w:color w:val="000000"/>
          <w:sz w:val="26"/>
          <w:szCs w:val="26"/>
          <w:lang w:eastAsia="bg-BG"/>
        </w:rPr>
        <w:tab/>
        <w:t>С оглед документалната обоснованост на производството отпускане на продукти, заплащани от бюджета на НЗОК, се внася уточнение, че д</w:t>
      </w:r>
      <w:r w:rsidRPr="00823005">
        <w:rPr>
          <w:rFonts w:ascii="Times New Roman" w:eastAsia="Times New Roman" w:hAnsi="Times New Roman" w:cs="Times New Roman"/>
          <w:color w:val="000000"/>
          <w:sz w:val="26"/>
          <w:szCs w:val="26"/>
          <w:lang w:eastAsia="bg-BG"/>
        </w:rPr>
        <w:t xml:space="preserve">атата на </w:t>
      </w:r>
      <w:r>
        <w:rPr>
          <w:rFonts w:ascii="Times New Roman" w:eastAsia="Times New Roman" w:hAnsi="Times New Roman" w:cs="Times New Roman"/>
          <w:color w:val="000000"/>
          <w:sz w:val="26"/>
          <w:szCs w:val="26"/>
          <w:lang w:eastAsia="bg-BG"/>
        </w:rPr>
        <w:t xml:space="preserve">отпускане в </w:t>
      </w:r>
      <w:proofErr w:type="spellStart"/>
      <w:r>
        <w:rPr>
          <w:rFonts w:ascii="Times New Roman" w:eastAsia="Times New Roman" w:hAnsi="Times New Roman" w:cs="Times New Roman"/>
          <w:color w:val="000000"/>
          <w:sz w:val="26"/>
          <w:szCs w:val="26"/>
          <w:lang w:eastAsia="bg-BG"/>
        </w:rPr>
        <w:t>рецептурната</w:t>
      </w:r>
      <w:proofErr w:type="spellEnd"/>
      <w:r>
        <w:rPr>
          <w:rFonts w:ascii="Times New Roman" w:eastAsia="Times New Roman" w:hAnsi="Times New Roman" w:cs="Times New Roman"/>
          <w:color w:val="000000"/>
          <w:sz w:val="26"/>
          <w:szCs w:val="26"/>
          <w:lang w:eastAsia="bg-BG"/>
        </w:rPr>
        <w:t xml:space="preserve"> книжка следва </w:t>
      </w:r>
      <w:r w:rsidRPr="00823005">
        <w:rPr>
          <w:rFonts w:ascii="Times New Roman" w:eastAsia="Times New Roman" w:hAnsi="Times New Roman" w:cs="Times New Roman"/>
          <w:color w:val="000000"/>
          <w:sz w:val="26"/>
          <w:szCs w:val="26"/>
          <w:lang w:eastAsia="bg-BG"/>
        </w:rPr>
        <w:t xml:space="preserve">да съответства на датата от </w:t>
      </w:r>
      <w:proofErr w:type="spellStart"/>
      <w:r w:rsidRPr="00823005">
        <w:rPr>
          <w:rFonts w:ascii="Times New Roman" w:eastAsia="Times New Roman" w:hAnsi="Times New Roman" w:cs="Times New Roman"/>
          <w:color w:val="000000"/>
          <w:sz w:val="26"/>
          <w:szCs w:val="26"/>
          <w:lang w:eastAsia="bg-BG"/>
        </w:rPr>
        <w:t>рецептурната</w:t>
      </w:r>
      <w:proofErr w:type="spellEnd"/>
      <w:r w:rsidRPr="00823005">
        <w:rPr>
          <w:rFonts w:ascii="Times New Roman" w:eastAsia="Times New Roman" w:hAnsi="Times New Roman" w:cs="Times New Roman"/>
          <w:color w:val="000000"/>
          <w:sz w:val="26"/>
          <w:szCs w:val="26"/>
          <w:lang w:eastAsia="bg-BG"/>
        </w:rPr>
        <w:t xml:space="preserve"> бланка. </w:t>
      </w:r>
      <w:r>
        <w:rPr>
          <w:rFonts w:ascii="Times New Roman" w:eastAsia="Times New Roman" w:hAnsi="Times New Roman" w:cs="Times New Roman"/>
          <w:color w:val="000000"/>
          <w:sz w:val="26"/>
          <w:szCs w:val="26"/>
          <w:lang w:eastAsia="bg-BG"/>
        </w:rPr>
        <w:t xml:space="preserve">Това е необходимо с оглед проследяването при </w:t>
      </w:r>
      <w:proofErr w:type="spellStart"/>
      <w:r>
        <w:rPr>
          <w:rFonts w:ascii="Times New Roman" w:eastAsia="Times New Roman" w:hAnsi="Times New Roman" w:cs="Times New Roman"/>
          <w:color w:val="000000"/>
          <w:sz w:val="26"/>
          <w:szCs w:val="26"/>
          <w:lang w:eastAsia="bg-BG"/>
        </w:rPr>
        <w:t>последващо</w:t>
      </w:r>
      <w:proofErr w:type="spellEnd"/>
      <w:r>
        <w:rPr>
          <w:rFonts w:ascii="Times New Roman" w:eastAsia="Times New Roman" w:hAnsi="Times New Roman" w:cs="Times New Roman"/>
          <w:color w:val="000000"/>
          <w:sz w:val="26"/>
          <w:szCs w:val="26"/>
          <w:lang w:eastAsia="bg-BG"/>
        </w:rPr>
        <w:t xml:space="preserve"> предписване на продукти от страна на ИМП на датата на отпускане на продуктите, тъй като ИМП нямат достъп до датата на отпускане на продуктите в бланките, а само – до </w:t>
      </w:r>
      <w:proofErr w:type="spellStart"/>
      <w:r>
        <w:rPr>
          <w:rFonts w:ascii="Times New Roman" w:eastAsia="Times New Roman" w:hAnsi="Times New Roman" w:cs="Times New Roman"/>
          <w:color w:val="000000"/>
          <w:sz w:val="26"/>
          <w:szCs w:val="26"/>
          <w:lang w:eastAsia="bg-BG"/>
        </w:rPr>
        <w:lastRenderedPageBreak/>
        <w:t>рецептурните</w:t>
      </w:r>
      <w:proofErr w:type="spellEnd"/>
      <w:r>
        <w:rPr>
          <w:rFonts w:ascii="Times New Roman" w:eastAsia="Times New Roman" w:hAnsi="Times New Roman" w:cs="Times New Roman"/>
          <w:color w:val="000000"/>
          <w:sz w:val="26"/>
          <w:szCs w:val="26"/>
          <w:lang w:eastAsia="bg-BG"/>
        </w:rPr>
        <w:t xml:space="preserve"> книжки. </w:t>
      </w:r>
    </w:p>
    <w:p w:rsidR="00823005" w:rsidRDefault="00823005" w:rsidP="00823005">
      <w:pPr>
        <w:pStyle w:val="ListParagraph"/>
        <w:widowControl w:val="0"/>
        <w:autoSpaceDE w:val="0"/>
        <w:autoSpaceDN w:val="0"/>
        <w:adjustRightInd w:val="0"/>
        <w:ind w:left="0"/>
        <w:jc w:val="both"/>
        <w:rPr>
          <w:rFonts w:ascii="Times New Roman" w:eastAsia="Times New Roman" w:hAnsi="Times New Roman" w:cs="Times New Roman"/>
          <w:color w:val="000000"/>
          <w:sz w:val="26"/>
          <w:szCs w:val="26"/>
          <w:lang w:eastAsia="bg-BG"/>
        </w:rPr>
      </w:pPr>
    </w:p>
    <w:p w:rsidR="00823005" w:rsidRDefault="00823005" w:rsidP="00823005">
      <w:pPr>
        <w:pStyle w:val="ListParagraph"/>
        <w:widowControl w:val="0"/>
        <w:autoSpaceDE w:val="0"/>
        <w:autoSpaceDN w:val="0"/>
        <w:adjustRightInd w:val="0"/>
        <w:ind w:left="0"/>
        <w:jc w:val="both"/>
        <w:rPr>
          <w:rFonts w:ascii="Times New Roman" w:eastAsia="Times New Roman" w:hAnsi="Times New Roman" w:cs="Times New Roman"/>
          <w:color w:val="000000"/>
          <w:sz w:val="26"/>
          <w:szCs w:val="26"/>
          <w:lang w:eastAsia="bg-BG"/>
        </w:rPr>
      </w:pPr>
      <w:r>
        <w:rPr>
          <w:rFonts w:ascii="Times New Roman" w:eastAsia="Times New Roman" w:hAnsi="Times New Roman" w:cs="Times New Roman"/>
          <w:color w:val="000000"/>
          <w:sz w:val="26"/>
          <w:szCs w:val="26"/>
          <w:lang w:eastAsia="bg-BG"/>
        </w:rPr>
        <w:tab/>
        <w:t xml:space="preserve">Забраната за съхранение на медицинска документация на пациентите от страна на аптеките е свързана с обработването на лични данни и намаляване на риска от нарушението на достъпа. Също така, личната медицинска документация е собственост на пациентите и съхранението им в аптеките затруднява попълването от медицинските специалисти и контрола от страна на НЗОК на редовното попълване на книжките в момента на отпускане на продуктите. В противен случай са налице множество случаи на по – късно попълване на книжките от страна на аптеките, не в момента на отпускане на продуктите. </w:t>
      </w:r>
    </w:p>
    <w:p w:rsidR="00D755F7" w:rsidRDefault="00D755F7" w:rsidP="00F22E0B">
      <w:pPr>
        <w:pStyle w:val="ListParagraph"/>
        <w:widowControl w:val="0"/>
        <w:autoSpaceDE w:val="0"/>
        <w:autoSpaceDN w:val="0"/>
        <w:adjustRightInd w:val="0"/>
        <w:ind w:left="0"/>
        <w:jc w:val="both"/>
        <w:rPr>
          <w:rFonts w:ascii="Times New Roman" w:eastAsia="Times New Roman" w:hAnsi="Times New Roman" w:cs="Times New Roman"/>
          <w:color w:val="000000"/>
          <w:sz w:val="26"/>
          <w:szCs w:val="26"/>
          <w:lang w:eastAsia="bg-BG"/>
        </w:rPr>
      </w:pPr>
      <w:r>
        <w:rPr>
          <w:rFonts w:ascii="Times New Roman" w:eastAsia="Times New Roman" w:hAnsi="Times New Roman" w:cs="Times New Roman"/>
          <w:color w:val="000000"/>
          <w:sz w:val="26"/>
          <w:szCs w:val="26"/>
          <w:lang w:eastAsia="bg-BG"/>
        </w:rPr>
        <w:tab/>
      </w:r>
    </w:p>
    <w:p w:rsidR="00D755F7" w:rsidRDefault="00D755F7" w:rsidP="00F22E0B">
      <w:pPr>
        <w:pStyle w:val="ListParagraph"/>
        <w:widowControl w:val="0"/>
        <w:autoSpaceDE w:val="0"/>
        <w:autoSpaceDN w:val="0"/>
        <w:adjustRightInd w:val="0"/>
        <w:ind w:left="0"/>
        <w:jc w:val="both"/>
        <w:rPr>
          <w:rFonts w:ascii="Times New Roman" w:eastAsia="Times New Roman" w:hAnsi="Times New Roman" w:cs="Times New Roman"/>
          <w:color w:val="000000"/>
          <w:sz w:val="26"/>
          <w:szCs w:val="26"/>
          <w:lang w:eastAsia="bg-BG"/>
        </w:rPr>
      </w:pPr>
      <w:r>
        <w:rPr>
          <w:rFonts w:ascii="Times New Roman" w:eastAsia="Times New Roman" w:hAnsi="Times New Roman" w:cs="Times New Roman"/>
          <w:color w:val="000000"/>
          <w:sz w:val="26"/>
          <w:szCs w:val="26"/>
          <w:lang w:eastAsia="bg-BG"/>
        </w:rPr>
        <w:tab/>
        <w:t xml:space="preserve">Внасят се технически и редакционни корекции в </w:t>
      </w:r>
      <w:r w:rsidR="00823005">
        <w:rPr>
          <w:rFonts w:ascii="Times New Roman" w:eastAsia="Times New Roman" w:hAnsi="Times New Roman" w:cs="Times New Roman"/>
          <w:color w:val="000000"/>
          <w:sz w:val="26"/>
          <w:szCs w:val="26"/>
          <w:lang w:eastAsia="bg-BG"/>
        </w:rPr>
        <w:t>изброените разпоредби</w:t>
      </w:r>
      <w:r>
        <w:rPr>
          <w:rFonts w:ascii="Times New Roman" w:eastAsia="Times New Roman" w:hAnsi="Times New Roman" w:cs="Times New Roman"/>
          <w:color w:val="000000"/>
          <w:sz w:val="26"/>
          <w:szCs w:val="26"/>
          <w:lang w:eastAsia="bg-BG"/>
        </w:rPr>
        <w:t xml:space="preserve"> от Условията и реда с оглед прецизност на формулировката, които, по същество, не водят до същес</w:t>
      </w:r>
      <w:r w:rsidR="00823005">
        <w:rPr>
          <w:rFonts w:ascii="Times New Roman" w:eastAsia="Times New Roman" w:hAnsi="Times New Roman" w:cs="Times New Roman"/>
          <w:color w:val="000000"/>
          <w:sz w:val="26"/>
          <w:szCs w:val="26"/>
          <w:lang w:eastAsia="bg-BG"/>
        </w:rPr>
        <w:t>твени изменения на съдържанието</w:t>
      </w:r>
      <w:r>
        <w:rPr>
          <w:rFonts w:ascii="Times New Roman" w:eastAsia="Times New Roman" w:hAnsi="Times New Roman" w:cs="Times New Roman"/>
          <w:color w:val="000000"/>
          <w:sz w:val="26"/>
          <w:szCs w:val="26"/>
          <w:lang w:eastAsia="bg-BG"/>
        </w:rPr>
        <w:t xml:space="preserve">. </w:t>
      </w:r>
    </w:p>
    <w:p w:rsidR="0091444F" w:rsidRPr="00F22E0B" w:rsidRDefault="0091444F" w:rsidP="00F22E0B">
      <w:pPr>
        <w:pStyle w:val="ListParagraph"/>
        <w:widowControl w:val="0"/>
        <w:autoSpaceDE w:val="0"/>
        <w:autoSpaceDN w:val="0"/>
        <w:adjustRightInd w:val="0"/>
        <w:ind w:left="0"/>
        <w:jc w:val="both"/>
        <w:rPr>
          <w:rFonts w:ascii="Times New Roman" w:eastAsia="Times New Roman" w:hAnsi="Times New Roman" w:cs="Times New Roman"/>
          <w:color w:val="000000"/>
          <w:sz w:val="26"/>
          <w:szCs w:val="26"/>
          <w:lang w:eastAsia="bg-BG"/>
        </w:rPr>
      </w:pPr>
    </w:p>
    <w:p w:rsidR="00B77A4E" w:rsidRPr="003224D7" w:rsidRDefault="00D755F7" w:rsidP="00D755F7">
      <w:pPr>
        <w:pStyle w:val="ListParagraph"/>
        <w:widowControl w:val="0"/>
        <w:numPr>
          <w:ilvl w:val="0"/>
          <w:numId w:val="3"/>
        </w:numPr>
        <w:autoSpaceDE w:val="0"/>
        <w:autoSpaceDN w:val="0"/>
        <w:adjustRightInd w:val="0"/>
        <w:jc w:val="both"/>
        <w:rPr>
          <w:rFonts w:ascii="Times New Roman" w:eastAsia="Times New Roman" w:hAnsi="Times New Roman" w:cs="Times New Roman"/>
          <w:b/>
          <w:color w:val="000000"/>
          <w:sz w:val="26"/>
          <w:szCs w:val="26"/>
          <w:lang w:eastAsia="bg-BG"/>
        </w:rPr>
      </w:pPr>
      <w:r w:rsidRPr="003224D7">
        <w:rPr>
          <w:rFonts w:ascii="Times New Roman" w:eastAsia="Times New Roman" w:hAnsi="Times New Roman" w:cs="Times New Roman"/>
          <w:b/>
          <w:color w:val="000000"/>
          <w:sz w:val="26"/>
          <w:szCs w:val="26"/>
          <w:lang w:eastAsia="bg-BG"/>
        </w:rPr>
        <w:t>Финансови и други средства, необходими за прилагане на новата уредба.</w:t>
      </w:r>
    </w:p>
    <w:p w:rsidR="00D322A8" w:rsidRDefault="00D322A8" w:rsidP="00D322A8">
      <w:pPr>
        <w:widowControl w:val="0"/>
        <w:autoSpaceDE w:val="0"/>
        <w:autoSpaceDN w:val="0"/>
        <w:adjustRightInd w:val="0"/>
        <w:jc w:val="both"/>
        <w:rPr>
          <w:rFonts w:ascii="Times New Roman" w:eastAsia="Times New Roman" w:hAnsi="Times New Roman" w:cs="Times New Roman"/>
          <w:color w:val="000000"/>
          <w:sz w:val="26"/>
          <w:szCs w:val="26"/>
          <w:lang w:eastAsia="bg-BG"/>
        </w:rPr>
      </w:pPr>
      <w:r w:rsidRPr="008B2977">
        <w:rPr>
          <w:rFonts w:ascii="Times New Roman" w:eastAsia="Times New Roman" w:hAnsi="Times New Roman" w:cs="Times New Roman"/>
          <w:color w:val="000000"/>
          <w:sz w:val="26"/>
          <w:szCs w:val="26"/>
          <w:lang w:eastAsia="bg-BG"/>
        </w:rPr>
        <w:tab/>
      </w:r>
      <w:r w:rsidR="006504C5" w:rsidRPr="008B2977">
        <w:rPr>
          <w:rFonts w:ascii="Times New Roman" w:eastAsia="Times New Roman" w:hAnsi="Times New Roman" w:cs="Times New Roman"/>
          <w:color w:val="000000"/>
          <w:sz w:val="26"/>
          <w:szCs w:val="26"/>
          <w:lang w:eastAsia="bg-BG"/>
        </w:rPr>
        <w:t>Условията и реда</w:t>
      </w:r>
      <w:r w:rsidRPr="008B2977">
        <w:rPr>
          <w:rFonts w:ascii="Times New Roman" w:eastAsia="Times New Roman" w:hAnsi="Times New Roman" w:cs="Times New Roman"/>
          <w:color w:val="000000"/>
          <w:sz w:val="26"/>
          <w:szCs w:val="26"/>
          <w:lang w:eastAsia="bg-BG"/>
        </w:rPr>
        <w:t xml:space="preserve"> не внася</w:t>
      </w:r>
      <w:r w:rsidR="006504C5" w:rsidRPr="008B2977">
        <w:rPr>
          <w:rFonts w:ascii="Times New Roman" w:eastAsia="Times New Roman" w:hAnsi="Times New Roman" w:cs="Times New Roman"/>
          <w:color w:val="000000"/>
          <w:sz w:val="26"/>
          <w:szCs w:val="26"/>
          <w:lang w:eastAsia="bg-BG"/>
        </w:rPr>
        <w:t>т</w:t>
      </w:r>
      <w:r w:rsidRPr="008B2977">
        <w:rPr>
          <w:rFonts w:ascii="Times New Roman" w:eastAsia="Times New Roman" w:hAnsi="Times New Roman" w:cs="Times New Roman"/>
          <w:color w:val="000000"/>
          <w:sz w:val="26"/>
          <w:szCs w:val="26"/>
          <w:lang w:eastAsia="bg-BG"/>
        </w:rPr>
        <w:t xml:space="preserve"> изменения, които налагат финансови средства от страна на НЗОК или за консолидирания републикански бюджет за прилагането на новата уредба.</w:t>
      </w:r>
      <w:r w:rsidR="008B2977" w:rsidRPr="008B2977">
        <w:rPr>
          <w:rFonts w:ascii="Times New Roman" w:eastAsia="Times New Roman" w:hAnsi="Times New Roman" w:cs="Times New Roman"/>
          <w:color w:val="000000"/>
          <w:sz w:val="26"/>
          <w:szCs w:val="26"/>
          <w:lang w:eastAsia="bg-BG"/>
        </w:rPr>
        <w:t xml:space="preserve"> Бюджетът на НЗОК е предмет на регулиране в Закона за бюджета на НЗОК за 201</w:t>
      </w:r>
      <w:r w:rsidR="00656F16">
        <w:rPr>
          <w:rFonts w:ascii="Times New Roman" w:eastAsia="Times New Roman" w:hAnsi="Times New Roman" w:cs="Times New Roman"/>
          <w:color w:val="000000"/>
          <w:sz w:val="26"/>
          <w:szCs w:val="26"/>
          <w:lang w:eastAsia="bg-BG"/>
        </w:rPr>
        <w:t>8</w:t>
      </w:r>
      <w:r w:rsidR="008B2977" w:rsidRPr="008B2977">
        <w:rPr>
          <w:rFonts w:ascii="Times New Roman" w:eastAsia="Times New Roman" w:hAnsi="Times New Roman" w:cs="Times New Roman"/>
          <w:color w:val="000000"/>
          <w:sz w:val="26"/>
          <w:szCs w:val="26"/>
          <w:lang w:eastAsia="bg-BG"/>
        </w:rPr>
        <w:t>г.</w:t>
      </w:r>
      <w:r w:rsidR="00823005">
        <w:rPr>
          <w:rFonts w:ascii="Times New Roman" w:eastAsia="Times New Roman" w:hAnsi="Times New Roman" w:cs="Times New Roman"/>
          <w:color w:val="000000"/>
          <w:sz w:val="26"/>
          <w:szCs w:val="26"/>
          <w:lang w:eastAsia="bg-BG"/>
        </w:rPr>
        <w:t xml:space="preserve"> Част от промените подобряват отчетността и документалната обоснованост на дейностите по сключените между НЗОК и изпълнителите индивидуални договори. </w:t>
      </w:r>
    </w:p>
    <w:p w:rsidR="00E61DC7" w:rsidRPr="003224D7" w:rsidRDefault="00E61DC7" w:rsidP="00823005">
      <w:pPr>
        <w:pStyle w:val="ListParagraph"/>
        <w:widowControl w:val="0"/>
        <w:numPr>
          <w:ilvl w:val="0"/>
          <w:numId w:val="3"/>
        </w:numPr>
        <w:autoSpaceDE w:val="0"/>
        <w:autoSpaceDN w:val="0"/>
        <w:adjustRightInd w:val="0"/>
        <w:jc w:val="both"/>
        <w:rPr>
          <w:rFonts w:ascii="Times New Roman" w:eastAsia="Times New Roman" w:hAnsi="Times New Roman" w:cs="Times New Roman"/>
          <w:b/>
          <w:color w:val="000000"/>
          <w:sz w:val="26"/>
          <w:szCs w:val="26"/>
          <w:lang w:eastAsia="bg-BG"/>
        </w:rPr>
      </w:pPr>
      <w:r w:rsidRPr="003224D7">
        <w:rPr>
          <w:rFonts w:ascii="Times New Roman" w:eastAsia="Times New Roman" w:hAnsi="Times New Roman" w:cs="Times New Roman"/>
          <w:b/>
          <w:color w:val="000000"/>
          <w:sz w:val="26"/>
          <w:szCs w:val="26"/>
          <w:lang w:eastAsia="bg-BG"/>
        </w:rPr>
        <w:t>Очаквани резултати от прилагане на новата уредба.</w:t>
      </w:r>
    </w:p>
    <w:p w:rsidR="00AF02CC" w:rsidRDefault="00AF02CC" w:rsidP="00E61DC7">
      <w:pPr>
        <w:widowControl w:val="0"/>
        <w:autoSpaceDE w:val="0"/>
        <w:autoSpaceDN w:val="0"/>
        <w:adjustRightInd w:val="0"/>
        <w:jc w:val="both"/>
        <w:rPr>
          <w:rFonts w:ascii="Times New Roman" w:eastAsia="Times New Roman" w:hAnsi="Times New Roman" w:cs="Times New Roman"/>
          <w:color w:val="000000"/>
          <w:sz w:val="26"/>
          <w:szCs w:val="26"/>
          <w:lang w:eastAsia="bg-BG"/>
        </w:rPr>
      </w:pPr>
      <w:r>
        <w:rPr>
          <w:rFonts w:ascii="Times New Roman" w:eastAsia="Times New Roman" w:hAnsi="Times New Roman" w:cs="Times New Roman"/>
          <w:color w:val="000000"/>
          <w:sz w:val="26"/>
          <w:szCs w:val="26"/>
          <w:lang w:eastAsia="bg-BG"/>
        </w:rPr>
        <w:tab/>
        <w:t>Изменението и допълнението относно срока на действие на подзаконовия акт ще създаде и осигури възможност за изпълнение на целите на ЗЛПХМ и на Закона за здравното осигуряване относно достъп на пациентите до лекарствени продукти, медицински изделия и диетични храни за амбулаторно лечение</w:t>
      </w:r>
      <w:r w:rsidR="00823005">
        <w:rPr>
          <w:rFonts w:ascii="Times New Roman" w:eastAsia="Times New Roman" w:hAnsi="Times New Roman" w:cs="Times New Roman"/>
          <w:color w:val="000000"/>
          <w:sz w:val="26"/>
          <w:szCs w:val="26"/>
          <w:lang w:eastAsia="bg-BG"/>
        </w:rPr>
        <w:t xml:space="preserve"> в периода след 01.04.2018г</w:t>
      </w:r>
      <w:r>
        <w:rPr>
          <w:rFonts w:ascii="Times New Roman" w:eastAsia="Times New Roman" w:hAnsi="Times New Roman" w:cs="Times New Roman"/>
          <w:color w:val="000000"/>
          <w:sz w:val="26"/>
          <w:szCs w:val="26"/>
          <w:lang w:eastAsia="bg-BG"/>
        </w:rPr>
        <w:t>.</w:t>
      </w:r>
      <w:r w:rsidR="00823005">
        <w:rPr>
          <w:rFonts w:ascii="Times New Roman" w:eastAsia="Times New Roman" w:hAnsi="Times New Roman" w:cs="Times New Roman"/>
          <w:color w:val="000000"/>
          <w:sz w:val="26"/>
          <w:szCs w:val="26"/>
          <w:lang w:eastAsia="bg-BG"/>
        </w:rPr>
        <w:t xml:space="preserve"> Липсата на съществено изменение обществените отношения, съответно - на нормативния акт, не налага издаването на нови Условия и ред, а внасянето на изменения и допълнения в действащия акт. </w:t>
      </w:r>
      <w:r w:rsidR="003224D7">
        <w:rPr>
          <w:rFonts w:ascii="Times New Roman" w:eastAsia="Times New Roman" w:hAnsi="Times New Roman" w:cs="Times New Roman"/>
          <w:color w:val="000000"/>
          <w:sz w:val="26"/>
          <w:szCs w:val="26"/>
          <w:lang w:eastAsia="bg-BG"/>
        </w:rPr>
        <w:t xml:space="preserve">Прилагането на новата уредба няма да внесе трудности пред изпълнителите, като се внасят пропорционални и съответни на целта изисквания. </w:t>
      </w:r>
    </w:p>
    <w:p w:rsidR="00AF02CC" w:rsidRPr="003224D7" w:rsidRDefault="00AF02CC" w:rsidP="00AF02CC">
      <w:pPr>
        <w:pStyle w:val="ListParagraph"/>
        <w:widowControl w:val="0"/>
        <w:numPr>
          <w:ilvl w:val="0"/>
          <w:numId w:val="3"/>
        </w:numPr>
        <w:autoSpaceDE w:val="0"/>
        <w:autoSpaceDN w:val="0"/>
        <w:adjustRightInd w:val="0"/>
        <w:jc w:val="both"/>
        <w:rPr>
          <w:rFonts w:ascii="Times New Roman" w:eastAsia="Times New Roman" w:hAnsi="Times New Roman" w:cs="Times New Roman"/>
          <w:b/>
          <w:color w:val="000000"/>
          <w:sz w:val="26"/>
          <w:szCs w:val="26"/>
          <w:lang w:eastAsia="bg-BG"/>
        </w:rPr>
      </w:pPr>
      <w:r w:rsidRPr="003224D7">
        <w:rPr>
          <w:rFonts w:ascii="Times New Roman" w:eastAsia="Times New Roman" w:hAnsi="Times New Roman" w:cs="Times New Roman"/>
          <w:b/>
          <w:color w:val="000000"/>
          <w:sz w:val="26"/>
          <w:szCs w:val="26"/>
          <w:lang w:eastAsia="bg-BG"/>
        </w:rPr>
        <w:t>Анализ за съответствието с правото на ЕС.</w:t>
      </w:r>
    </w:p>
    <w:p w:rsidR="00D322A8" w:rsidRPr="008B2977" w:rsidRDefault="00D322A8" w:rsidP="00D322A8">
      <w:pPr>
        <w:widowControl w:val="0"/>
        <w:autoSpaceDE w:val="0"/>
        <w:autoSpaceDN w:val="0"/>
        <w:adjustRightInd w:val="0"/>
        <w:jc w:val="both"/>
        <w:rPr>
          <w:rFonts w:ascii="Times New Roman" w:eastAsia="Times New Roman" w:hAnsi="Times New Roman" w:cs="Times New Roman"/>
          <w:color w:val="000000"/>
          <w:sz w:val="26"/>
          <w:szCs w:val="26"/>
          <w:lang w:eastAsia="bg-BG"/>
        </w:rPr>
      </w:pPr>
      <w:r w:rsidRPr="008B2977">
        <w:rPr>
          <w:rFonts w:ascii="Times New Roman" w:eastAsia="Times New Roman" w:hAnsi="Times New Roman" w:cs="Times New Roman"/>
          <w:color w:val="000000"/>
          <w:sz w:val="26"/>
          <w:szCs w:val="26"/>
          <w:lang w:eastAsia="bg-BG"/>
        </w:rPr>
        <w:tab/>
      </w:r>
      <w:r w:rsidR="00AF02CC">
        <w:rPr>
          <w:rFonts w:ascii="Times New Roman" w:eastAsia="Times New Roman" w:hAnsi="Times New Roman" w:cs="Times New Roman"/>
          <w:color w:val="000000"/>
          <w:sz w:val="26"/>
          <w:szCs w:val="26"/>
          <w:lang w:eastAsia="bg-BG"/>
        </w:rPr>
        <w:t>Условията и реда са в съответствие</w:t>
      </w:r>
      <w:r w:rsidRPr="008B2977">
        <w:rPr>
          <w:rFonts w:ascii="Times New Roman" w:eastAsia="Times New Roman" w:hAnsi="Times New Roman" w:cs="Times New Roman"/>
          <w:color w:val="000000"/>
          <w:sz w:val="26"/>
          <w:szCs w:val="26"/>
          <w:lang w:eastAsia="bg-BG"/>
        </w:rPr>
        <w:t xml:space="preserve"> с правото на ЕС, доколкото предметът на уредба не е </w:t>
      </w:r>
      <w:proofErr w:type="spellStart"/>
      <w:r w:rsidRPr="008B2977">
        <w:rPr>
          <w:rFonts w:ascii="Times New Roman" w:eastAsia="Times New Roman" w:hAnsi="Times New Roman" w:cs="Times New Roman"/>
          <w:color w:val="000000"/>
          <w:sz w:val="26"/>
          <w:szCs w:val="26"/>
          <w:lang w:eastAsia="bg-BG"/>
        </w:rPr>
        <w:t>относим</w:t>
      </w:r>
      <w:proofErr w:type="spellEnd"/>
      <w:r w:rsidRPr="008B2977">
        <w:rPr>
          <w:rFonts w:ascii="Times New Roman" w:eastAsia="Times New Roman" w:hAnsi="Times New Roman" w:cs="Times New Roman"/>
          <w:color w:val="000000"/>
          <w:sz w:val="26"/>
          <w:szCs w:val="26"/>
          <w:lang w:eastAsia="bg-BG"/>
        </w:rPr>
        <w:t xml:space="preserve"> към специалната </w:t>
      </w:r>
      <w:hyperlink r:id="rId6" w:tgtFrame="_blank" w:history="1">
        <w:r w:rsidRPr="008B2977">
          <w:rPr>
            <w:rFonts w:ascii="Times New Roman" w:eastAsia="Times New Roman" w:hAnsi="Times New Roman" w:cs="Times New Roman"/>
            <w:color w:val="000000"/>
            <w:sz w:val="26"/>
            <w:szCs w:val="26"/>
            <w:lang w:eastAsia="bg-BG"/>
          </w:rPr>
          <w:t>Директива 2001/83/ЕО</w:t>
        </w:r>
      </w:hyperlink>
      <w:r w:rsidRPr="008B2977">
        <w:rPr>
          <w:rFonts w:ascii="Times New Roman" w:eastAsia="Times New Roman" w:hAnsi="Times New Roman" w:cs="Times New Roman"/>
          <w:color w:val="000000"/>
          <w:sz w:val="26"/>
          <w:szCs w:val="26"/>
          <w:lang w:eastAsia="bg-BG"/>
        </w:rPr>
        <w:t xml:space="preserve"> на Европейския </w:t>
      </w:r>
      <w:r w:rsidRPr="008B2977">
        <w:rPr>
          <w:rFonts w:ascii="Times New Roman" w:eastAsia="Times New Roman" w:hAnsi="Times New Roman" w:cs="Times New Roman"/>
          <w:color w:val="000000"/>
          <w:sz w:val="26"/>
          <w:szCs w:val="26"/>
          <w:lang w:eastAsia="bg-BG"/>
        </w:rPr>
        <w:lastRenderedPageBreak/>
        <w:t xml:space="preserve">парламент и Съвета за утвърждаване на кодекс на Общността за лекарствени продукти за хуманна употреба, последно изменена с </w:t>
      </w:r>
      <w:hyperlink r:id="rId7" w:tgtFrame="_blank" w:history="1">
        <w:r w:rsidRPr="008B2977">
          <w:rPr>
            <w:rFonts w:ascii="Times New Roman" w:eastAsia="Times New Roman" w:hAnsi="Times New Roman" w:cs="Times New Roman"/>
            <w:color w:val="000000"/>
            <w:sz w:val="26"/>
            <w:szCs w:val="26"/>
            <w:lang w:eastAsia="bg-BG"/>
          </w:rPr>
          <w:t>Директива 2004/27/ЕО</w:t>
        </w:r>
      </w:hyperlink>
      <w:r w:rsidRPr="008B2977">
        <w:rPr>
          <w:rFonts w:ascii="Times New Roman" w:eastAsia="Times New Roman" w:hAnsi="Times New Roman" w:cs="Times New Roman"/>
          <w:color w:val="000000"/>
          <w:sz w:val="26"/>
          <w:szCs w:val="26"/>
          <w:lang w:eastAsia="bg-BG"/>
        </w:rPr>
        <w:t xml:space="preserve"> на Европейския парламент и Съвета, и на </w:t>
      </w:r>
      <w:hyperlink r:id="rId8" w:tgtFrame="_blank" w:history="1">
        <w:r w:rsidRPr="008B2977">
          <w:rPr>
            <w:rFonts w:ascii="Times New Roman" w:eastAsia="Times New Roman" w:hAnsi="Times New Roman" w:cs="Times New Roman"/>
            <w:color w:val="000000"/>
            <w:sz w:val="26"/>
            <w:szCs w:val="26"/>
            <w:lang w:eastAsia="bg-BG"/>
          </w:rPr>
          <w:t>Директива 2012/26/ЕС</w:t>
        </w:r>
      </w:hyperlink>
      <w:r w:rsidRPr="008B2977">
        <w:rPr>
          <w:rFonts w:ascii="Times New Roman" w:eastAsia="Times New Roman" w:hAnsi="Times New Roman" w:cs="Times New Roman"/>
          <w:color w:val="000000"/>
          <w:sz w:val="26"/>
          <w:szCs w:val="26"/>
          <w:lang w:eastAsia="bg-BG"/>
        </w:rPr>
        <w:t xml:space="preserve"> на Европейския парламент и на Съвета от 25 октомври 2012 г. за изменение на </w:t>
      </w:r>
      <w:hyperlink r:id="rId9" w:tgtFrame="_blank" w:history="1">
        <w:r w:rsidRPr="008B2977">
          <w:rPr>
            <w:rFonts w:ascii="Times New Roman" w:eastAsia="Times New Roman" w:hAnsi="Times New Roman" w:cs="Times New Roman"/>
            <w:color w:val="000000"/>
            <w:sz w:val="26"/>
            <w:szCs w:val="26"/>
            <w:lang w:eastAsia="bg-BG"/>
          </w:rPr>
          <w:t>Директива 2001/83/ЕО</w:t>
        </w:r>
      </w:hyperlink>
      <w:r w:rsidRPr="008B2977">
        <w:rPr>
          <w:rFonts w:ascii="Times New Roman" w:eastAsia="Times New Roman" w:hAnsi="Times New Roman" w:cs="Times New Roman"/>
          <w:color w:val="000000"/>
          <w:sz w:val="26"/>
          <w:szCs w:val="26"/>
          <w:lang w:eastAsia="bg-BG"/>
        </w:rPr>
        <w:t xml:space="preserve"> по отношение на фармакологичната бдителност.</w:t>
      </w:r>
      <w:r w:rsidR="000D4AD6" w:rsidRPr="008B2977">
        <w:rPr>
          <w:rFonts w:ascii="Times New Roman" w:eastAsia="Times New Roman" w:hAnsi="Times New Roman" w:cs="Times New Roman"/>
          <w:color w:val="000000"/>
          <w:sz w:val="26"/>
          <w:szCs w:val="26"/>
          <w:lang w:eastAsia="bg-BG"/>
        </w:rPr>
        <w:t xml:space="preserve"> Условията и реда са в съответствие с </w:t>
      </w:r>
      <w:hyperlink r:id="rId10" w:history="1">
        <w:r w:rsidR="008B2977" w:rsidRPr="008B2977">
          <w:rPr>
            <w:rFonts w:ascii="Times New Roman" w:eastAsia="Times New Roman" w:hAnsi="Times New Roman" w:cs="Times New Roman"/>
            <w:color w:val="000000"/>
            <w:sz w:val="26"/>
            <w:szCs w:val="26"/>
            <w:lang w:eastAsia="bg-BG"/>
          </w:rPr>
          <w:t>Директива 2011/24/ЕС за правата на пациентите при трансгранично здравно обслужване</w:t>
        </w:r>
      </w:hyperlink>
      <w:r w:rsidR="008B2977" w:rsidRPr="008B2977">
        <w:rPr>
          <w:rFonts w:ascii="Times New Roman" w:eastAsia="Times New Roman" w:hAnsi="Times New Roman" w:cs="Times New Roman"/>
          <w:color w:val="000000"/>
          <w:sz w:val="26"/>
          <w:szCs w:val="26"/>
          <w:lang w:eastAsia="bg-BG"/>
        </w:rPr>
        <w:t>. Търговците на дребно са длъжни да отпускат лекарствени продукти, медицински изделия и диетични храни на лица, осигурени в друга държава-членка на Европейския съюз, в Швейцария или в държава – страна по Споразумението за Европейско икономическо пространство (Норвегия, Исландия и Лихтенщайн), за които се прилага законодателството на Р България съгласно правилата за координация на системите за социална сигурност по смисъла на §1, т. 22 от ПЗР на ЗЗО.</w:t>
      </w:r>
    </w:p>
    <w:p w:rsidR="001253C7" w:rsidRPr="008B2977" w:rsidRDefault="001253C7" w:rsidP="001253C7">
      <w:pPr>
        <w:widowControl w:val="0"/>
        <w:autoSpaceDE w:val="0"/>
        <w:autoSpaceDN w:val="0"/>
        <w:adjustRightInd w:val="0"/>
        <w:jc w:val="both"/>
        <w:rPr>
          <w:rFonts w:ascii="Times New Roman" w:eastAsia="Times New Roman" w:hAnsi="Times New Roman" w:cs="Times New Roman"/>
          <w:color w:val="000000"/>
          <w:sz w:val="26"/>
          <w:szCs w:val="26"/>
          <w:lang w:eastAsia="bg-BG"/>
        </w:rPr>
      </w:pPr>
      <w:r w:rsidRPr="008B2977">
        <w:rPr>
          <w:rFonts w:ascii="Times New Roman" w:eastAsia="Times New Roman" w:hAnsi="Times New Roman" w:cs="Times New Roman"/>
          <w:color w:val="000000"/>
          <w:sz w:val="26"/>
          <w:szCs w:val="26"/>
          <w:lang w:eastAsia="bg-BG"/>
        </w:rPr>
        <w:tab/>
      </w:r>
    </w:p>
    <w:p w:rsidR="001253C7" w:rsidRPr="008B2977" w:rsidRDefault="001253C7" w:rsidP="007B39E1">
      <w:pPr>
        <w:spacing w:after="0" w:line="268" w:lineRule="auto"/>
        <w:ind w:firstLine="283"/>
        <w:jc w:val="both"/>
        <w:textAlignment w:val="center"/>
        <w:rPr>
          <w:rFonts w:ascii="Times New Roman" w:eastAsia="Times New Roman" w:hAnsi="Times New Roman" w:cs="Times New Roman"/>
          <w:color w:val="000000"/>
          <w:sz w:val="26"/>
          <w:szCs w:val="26"/>
          <w:lang w:eastAsia="bg-BG"/>
        </w:rPr>
      </w:pPr>
    </w:p>
    <w:p w:rsidR="001253C7" w:rsidRDefault="001253C7" w:rsidP="007B39E1">
      <w:pPr>
        <w:spacing w:after="0" w:line="268" w:lineRule="auto"/>
        <w:ind w:firstLine="283"/>
        <w:jc w:val="both"/>
        <w:textAlignment w:val="center"/>
        <w:rPr>
          <w:rFonts w:ascii="Times New Roman" w:eastAsia="Times New Roman" w:hAnsi="Times New Roman" w:cs="Times New Roman"/>
          <w:color w:val="000000"/>
          <w:sz w:val="26"/>
          <w:szCs w:val="26"/>
          <w:lang w:eastAsia="bg-BG"/>
        </w:rPr>
      </w:pPr>
    </w:p>
    <w:p w:rsidR="00F85CBD" w:rsidRDefault="00F85CBD" w:rsidP="007B39E1">
      <w:pPr>
        <w:spacing w:after="0" w:line="268" w:lineRule="auto"/>
        <w:ind w:firstLine="283"/>
        <w:jc w:val="both"/>
        <w:textAlignment w:val="center"/>
        <w:rPr>
          <w:rFonts w:ascii="Times New Roman" w:eastAsia="Times New Roman" w:hAnsi="Times New Roman" w:cs="Times New Roman"/>
          <w:color w:val="000000"/>
          <w:sz w:val="26"/>
          <w:szCs w:val="26"/>
          <w:lang w:eastAsia="bg-BG"/>
        </w:rPr>
      </w:pPr>
    </w:p>
    <w:p w:rsidR="00F85CBD" w:rsidRDefault="00F85CBD" w:rsidP="007B39E1">
      <w:pPr>
        <w:spacing w:after="0" w:line="268" w:lineRule="auto"/>
        <w:ind w:firstLine="283"/>
        <w:jc w:val="both"/>
        <w:textAlignment w:val="center"/>
        <w:rPr>
          <w:rFonts w:ascii="Times New Roman" w:eastAsia="Times New Roman" w:hAnsi="Times New Roman" w:cs="Times New Roman"/>
          <w:color w:val="000000"/>
          <w:sz w:val="26"/>
          <w:szCs w:val="26"/>
          <w:lang w:eastAsia="bg-BG"/>
        </w:rPr>
      </w:pPr>
    </w:p>
    <w:p w:rsidR="00F85CBD" w:rsidRDefault="00F85CBD" w:rsidP="007B39E1">
      <w:pPr>
        <w:spacing w:after="0" w:line="268" w:lineRule="auto"/>
        <w:ind w:firstLine="283"/>
        <w:jc w:val="both"/>
        <w:textAlignment w:val="center"/>
        <w:rPr>
          <w:rFonts w:ascii="Times New Roman" w:eastAsia="Times New Roman" w:hAnsi="Times New Roman" w:cs="Times New Roman"/>
          <w:color w:val="000000"/>
          <w:sz w:val="26"/>
          <w:szCs w:val="26"/>
          <w:lang w:eastAsia="bg-BG"/>
        </w:rPr>
      </w:pPr>
    </w:p>
    <w:p w:rsidR="00823005" w:rsidRDefault="00823005" w:rsidP="007B39E1">
      <w:pPr>
        <w:spacing w:after="0" w:line="268" w:lineRule="auto"/>
        <w:ind w:firstLine="283"/>
        <w:jc w:val="both"/>
        <w:textAlignment w:val="center"/>
        <w:rPr>
          <w:rFonts w:ascii="Times New Roman" w:eastAsia="Times New Roman" w:hAnsi="Times New Roman" w:cs="Times New Roman"/>
          <w:color w:val="000000"/>
          <w:sz w:val="26"/>
          <w:szCs w:val="26"/>
          <w:lang w:eastAsia="bg-BG"/>
        </w:rPr>
      </w:pPr>
    </w:p>
    <w:p w:rsidR="00823005" w:rsidRDefault="00823005" w:rsidP="007B39E1">
      <w:pPr>
        <w:spacing w:after="0" w:line="268" w:lineRule="auto"/>
        <w:ind w:firstLine="283"/>
        <w:jc w:val="both"/>
        <w:textAlignment w:val="center"/>
        <w:rPr>
          <w:rFonts w:ascii="Times New Roman" w:eastAsia="Times New Roman" w:hAnsi="Times New Roman" w:cs="Times New Roman"/>
          <w:color w:val="000000"/>
          <w:sz w:val="26"/>
          <w:szCs w:val="26"/>
          <w:lang w:eastAsia="bg-BG"/>
        </w:rPr>
      </w:pPr>
    </w:p>
    <w:p w:rsidR="00823005" w:rsidRDefault="00823005" w:rsidP="007B39E1">
      <w:pPr>
        <w:spacing w:after="0" w:line="268" w:lineRule="auto"/>
        <w:ind w:firstLine="283"/>
        <w:jc w:val="both"/>
        <w:textAlignment w:val="center"/>
        <w:rPr>
          <w:rFonts w:ascii="Times New Roman" w:eastAsia="Times New Roman" w:hAnsi="Times New Roman" w:cs="Times New Roman"/>
          <w:color w:val="000000"/>
          <w:sz w:val="26"/>
          <w:szCs w:val="26"/>
          <w:lang w:eastAsia="bg-BG"/>
        </w:rPr>
      </w:pPr>
    </w:p>
    <w:p w:rsidR="00823005" w:rsidRDefault="00823005" w:rsidP="007B39E1">
      <w:pPr>
        <w:spacing w:after="0" w:line="268" w:lineRule="auto"/>
        <w:ind w:firstLine="283"/>
        <w:jc w:val="both"/>
        <w:textAlignment w:val="center"/>
        <w:rPr>
          <w:rFonts w:ascii="Times New Roman" w:eastAsia="Times New Roman" w:hAnsi="Times New Roman" w:cs="Times New Roman"/>
          <w:color w:val="000000"/>
          <w:sz w:val="26"/>
          <w:szCs w:val="26"/>
          <w:lang w:eastAsia="bg-BG"/>
        </w:rPr>
      </w:pPr>
    </w:p>
    <w:p w:rsidR="00823005" w:rsidRDefault="00823005" w:rsidP="007B39E1">
      <w:pPr>
        <w:spacing w:after="0" w:line="268" w:lineRule="auto"/>
        <w:ind w:firstLine="283"/>
        <w:jc w:val="both"/>
        <w:textAlignment w:val="center"/>
        <w:rPr>
          <w:rFonts w:ascii="Times New Roman" w:eastAsia="Times New Roman" w:hAnsi="Times New Roman" w:cs="Times New Roman"/>
          <w:color w:val="000000"/>
          <w:sz w:val="26"/>
          <w:szCs w:val="26"/>
          <w:lang w:eastAsia="bg-BG"/>
        </w:rPr>
      </w:pPr>
    </w:p>
    <w:p w:rsidR="00823005" w:rsidRDefault="00823005" w:rsidP="007B39E1">
      <w:pPr>
        <w:spacing w:after="0" w:line="268" w:lineRule="auto"/>
        <w:ind w:firstLine="283"/>
        <w:jc w:val="both"/>
        <w:textAlignment w:val="center"/>
        <w:rPr>
          <w:rFonts w:ascii="Times New Roman" w:eastAsia="Times New Roman" w:hAnsi="Times New Roman" w:cs="Times New Roman"/>
          <w:color w:val="000000"/>
          <w:sz w:val="26"/>
          <w:szCs w:val="26"/>
          <w:lang w:eastAsia="bg-BG"/>
        </w:rPr>
      </w:pPr>
    </w:p>
    <w:p w:rsidR="00823005" w:rsidRDefault="00823005" w:rsidP="007B39E1">
      <w:pPr>
        <w:spacing w:after="0" w:line="268" w:lineRule="auto"/>
        <w:ind w:firstLine="283"/>
        <w:jc w:val="both"/>
        <w:textAlignment w:val="center"/>
        <w:rPr>
          <w:rFonts w:ascii="Times New Roman" w:eastAsia="Times New Roman" w:hAnsi="Times New Roman" w:cs="Times New Roman"/>
          <w:color w:val="000000"/>
          <w:sz w:val="26"/>
          <w:szCs w:val="26"/>
          <w:lang w:eastAsia="bg-BG"/>
        </w:rPr>
      </w:pPr>
    </w:p>
    <w:p w:rsidR="00823005" w:rsidRDefault="00823005" w:rsidP="007B39E1">
      <w:pPr>
        <w:spacing w:after="0" w:line="268" w:lineRule="auto"/>
        <w:ind w:firstLine="283"/>
        <w:jc w:val="both"/>
        <w:textAlignment w:val="center"/>
        <w:rPr>
          <w:rFonts w:ascii="Times New Roman" w:eastAsia="Times New Roman" w:hAnsi="Times New Roman" w:cs="Times New Roman"/>
          <w:color w:val="000000"/>
          <w:sz w:val="26"/>
          <w:szCs w:val="26"/>
          <w:lang w:eastAsia="bg-BG"/>
        </w:rPr>
      </w:pPr>
    </w:p>
    <w:p w:rsidR="00823005" w:rsidRDefault="00823005" w:rsidP="007B39E1">
      <w:pPr>
        <w:spacing w:after="0" w:line="268" w:lineRule="auto"/>
        <w:ind w:firstLine="283"/>
        <w:jc w:val="both"/>
        <w:textAlignment w:val="center"/>
        <w:rPr>
          <w:rFonts w:ascii="Times New Roman" w:eastAsia="Times New Roman" w:hAnsi="Times New Roman" w:cs="Times New Roman"/>
          <w:color w:val="000000"/>
          <w:sz w:val="26"/>
          <w:szCs w:val="26"/>
          <w:lang w:eastAsia="bg-BG"/>
        </w:rPr>
      </w:pPr>
    </w:p>
    <w:p w:rsidR="00823005" w:rsidRDefault="00823005" w:rsidP="007B39E1">
      <w:pPr>
        <w:spacing w:after="0" w:line="268" w:lineRule="auto"/>
        <w:ind w:firstLine="283"/>
        <w:jc w:val="both"/>
        <w:textAlignment w:val="center"/>
        <w:rPr>
          <w:rFonts w:ascii="Times New Roman" w:eastAsia="Times New Roman" w:hAnsi="Times New Roman" w:cs="Times New Roman"/>
          <w:color w:val="000000"/>
          <w:sz w:val="26"/>
          <w:szCs w:val="26"/>
          <w:lang w:eastAsia="bg-BG"/>
        </w:rPr>
      </w:pPr>
    </w:p>
    <w:p w:rsidR="00823005" w:rsidRDefault="00823005" w:rsidP="007B39E1">
      <w:pPr>
        <w:spacing w:after="0" w:line="268" w:lineRule="auto"/>
        <w:ind w:firstLine="283"/>
        <w:jc w:val="both"/>
        <w:textAlignment w:val="center"/>
        <w:rPr>
          <w:rFonts w:ascii="Times New Roman" w:eastAsia="Times New Roman" w:hAnsi="Times New Roman" w:cs="Times New Roman"/>
          <w:color w:val="000000"/>
          <w:sz w:val="26"/>
          <w:szCs w:val="26"/>
          <w:lang w:eastAsia="bg-BG"/>
        </w:rPr>
      </w:pPr>
    </w:p>
    <w:p w:rsidR="00823005" w:rsidRDefault="00823005" w:rsidP="007B39E1">
      <w:pPr>
        <w:spacing w:after="0" w:line="268" w:lineRule="auto"/>
        <w:ind w:firstLine="283"/>
        <w:jc w:val="both"/>
        <w:textAlignment w:val="center"/>
        <w:rPr>
          <w:rFonts w:ascii="Times New Roman" w:eastAsia="Times New Roman" w:hAnsi="Times New Roman" w:cs="Times New Roman"/>
          <w:color w:val="000000"/>
          <w:sz w:val="26"/>
          <w:szCs w:val="26"/>
          <w:lang w:eastAsia="bg-BG"/>
        </w:rPr>
      </w:pPr>
    </w:p>
    <w:p w:rsidR="00823005" w:rsidRDefault="00823005" w:rsidP="007B39E1">
      <w:pPr>
        <w:spacing w:after="0" w:line="268" w:lineRule="auto"/>
        <w:ind w:firstLine="283"/>
        <w:jc w:val="both"/>
        <w:textAlignment w:val="center"/>
        <w:rPr>
          <w:rFonts w:ascii="Times New Roman" w:eastAsia="Times New Roman" w:hAnsi="Times New Roman" w:cs="Times New Roman"/>
          <w:color w:val="000000"/>
          <w:sz w:val="26"/>
          <w:szCs w:val="26"/>
          <w:lang w:eastAsia="bg-BG"/>
        </w:rPr>
      </w:pPr>
    </w:p>
    <w:p w:rsidR="00823005" w:rsidRDefault="00823005" w:rsidP="007B39E1">
      <w:pPr>
        <w:spacing w:after="0" w:line="268" w:lineRule="auto"/>
        <w:ind w:firstLine="283"/>
        <w:jc w:val="both"/>
        <w:textAlignment w:val="center"/>
        <w:rPr>
          <w:rFonts w:ascii="Times New Roman" w:eastAsia="Times New Roman" w:hAnsi="Times New Roman" w:cs="Times New Roman"/>
          <w:color w:val="000000"/>
          <w:sz w:val="26"/>
          <w:szCs w:val="26"/>
          <w:lang w:eastAsia="bg-BG"/>
        </w:rPr>
      </w:pPr>
    </w:p>
    <w:p w:rsidR="00823005" w:rsidRDefault="00823005" w:rsidP="007B39E1">
      <w:pPr>
        <w:spacing w:after="0" w:line="268" w:lineRule="auto"/>
        <w:ind w:firstLine="283"/>
        <w:jc w:val="both"/>
        <w:textAlignment w:val="center"/>
        <w:rPr>
          <w:rFonts w:ascii="Times New Roman" w:eastAsia="Times New Roman" w:hAnsi="Times New Roman" w:cs="Times New Roman"/>
          <w:color w:val="000000"/>
          <w:sz w:val="26"/>
          <w:szCs w:val="26"/>
          <w:lang w:eastAsia="bg-BG"/>
        </w:rPr>
      </w:pPr>
    </w:p>
    <w:p w:rsidR="00823005" w:rsidRDefault="00823005" w:rsidP="007B39E1">
      <w:pPr>
        <w:spacing w:after="0" w:line="268" w:lineRule="auto"/>
        <w:ind w:firstLine="283"/>
        <w:jc w:val="both"/>
        <w:textAlignment w:val="center"/>
        <w:rPr>
          <w:rFonts w:ascii="Times New Roman" w:eastAsia="Times New Roman" w:hAnsi="Times New Roman" w:cs="Times New Roman"/>
          <w:color w:val="000000"/>
          <w:sz w:val="26"/>
          <w:szCs w:val="26"/>
          <w:lang w:eastAsia="bg-BG"/>
        </w:rPr>
      </w:pPr>
    </w:p>
    <w:p w:rsidR="00823005" w:rsidRDefault="00823005" w:rsidP="007B39E1">
      <w:pPr>
        <w:spacing w:after="0" w:line="268" w:lineRule="auto"/>
        <w:ind w:firstLine="283"/>
        <w:jc w:val="both"/>
        <w:textAlignment w:val="center"/>
        <w:rPr>
          <w:rFonts w:ascii="Times New Roman" w:eastAsia="Times New Roman" w:hAnsi="Times New Roman" w:cs="Times New Roman"/>
          <w:color w:val="000000"/>
          <w:sz w:val="26"/>
          <w:szCs w:val="26"/>
          <w:lang w:eastAsia="bg-BG"/>
        </w:rPr>
      </w:pPr>
    </w:p>
    <w:p w:rsidR="00823005" w:rsidRDefault="00823005" w:rsidP="007B39E1">
      <w:pPr>
        <w:spacing w:after="0" w:line="268" w:lineRule="auto"/>
        <w:ind w:firstLine="283"/>
        <w:jc w:val="both"/>
        <w:textAlignment w:val="center"/>
        <w:rPr>
          <w:rFonts w:ascii="Times New Roman" w:eastAsia="Times New Roman" w:hAnsi="Times New Roman" w:cs="Times New Roman"/>
          <w:color w:val="000000"/>
          <w:sz w:val="26"/>
          <w:szCs w:val="26"/>
          <w:lang w:eastAsia="bg-BG"/>
        </w:rPr>
      </w:pPr>
    </w:p>
    <w:p w:rsidR="00823005" w:rsidRDefault="00823005" w:rsidP="007B39E1">
      <w:pPr>
        <w:spacing w:after="0" w:line="268" w:lineRule="auto"/>
        <w:ind w:firstLine="283"/>
        <w:jc w:val="both"/>
        <w:textAlignment w:val="center"/>
        <w:rPr>
          <w:rFonts w:ascii="Times New Roman" w:eastAsia="Times New Roman" w:hAnsi="Times New Roman" w:cs="Times New Roman"/>
          <w:color w:val="000000"/>
          <w:sz w:val="26"/>
          <w:szCs w:val="26"/>
          <w:lang w:eastAsia="bg-BG"/>
        </w:rPr>
      </w:pPr>
    </w:p>
    <w:p w:rsidR="00823005" w:rsidRDefault="00823005" w:rsidP="007B39E1">
      <w:pPr>
        <w:spacing w:after="0" w:line="268" w:lineRule="auto"/>
        <w:ind w:firstLine="283"/>
        <w:jc w:val="both"/>
        <w:textAlignment w:val="center"/>
        <w:rPr>
          <w:rFonts w:ascii="Times New Roman" w:eastAsia="Times New Roman" w:hAnsi="Times New Roman" w:cs="Times New Roman"/>
          <w:color w:val="000000"/>
          <w:sz w:val="26"/>
          <w:szCs w:val="26"/>
          <w:lang w:eastAsia="bg-BG"/>
        </w:rPr>
      </w:pPr>
    </w:p>
    <w:p w:rsidR="00F85CBD" w:rsidRPr="00E50C7C" w:rsidRDefault="00F85CBD" w:rsidP="00F85CBD">
      <w:pPr>
        <w:pStyle w:val="Heading1"/>
        <w:spacing w:line="360" w:lineRule="auto"/>
        <w:ind w:right="-468"/>
        <w:rPr>
          <w:rFonts w:ascii="Verdana" w:hAnsi="Verdana"/>
          <w:spacing w:val="44"/>
          <w:sz w:val="20"/>
        </w:rPr>
      </w:pPr>
      <w:r w:rsidRPr="00E50C7C">
        <w:rPr>
          <w:rFonts w:ascii="Verdana" w:hAnsi="Verdana"/>
          <w:spacing w:val="44"/>
          <w:sz w:val="20"/>
        </w:rPr>
        <w:t>ДОКЛАД</w:t>
      </w:r>
    </w:p>
    <w:p w:rsidR="00F85CBD" w:rsidRPr="00E61002" w:rsidRDefault="00F85CBD" w:rsidP="00F85CBD">
      <w:pPr>
        <w:spacing w:line="360" w:lineRule="auto"/>
        <w:ind w:right="-468"/>
        <w:jc w:val="center"/>
        <w:rPr>
          <w:rFonts w:ascii="Verdana" w:hAnsi="Verdana"/>
          <w:b/>
          <w:sz w:val="20"/>
          <w:szCs w:val="20"/>
        </w:rPr>
      </w:pPr>
      <w:r w:rsidRPr="00E61002">
        <w:rPr>
          <w:rFonts w:ascii="Verdana" w:hAnsi="Verdana"/>
          <w:b/>
          <w:sz w:val="20"/>
          <w:szCs w:val="20"/>
        </w:rPr>
        <w:t>от</w:t>
      </w:r>
    </w:p>
    <w:p w:rsidR="00F85CBD" w:rsidRPr="00CC7818" w:rsidRDefault="00F85CBD" w:rsidP="00F85CBD">
      <w:pPr>
        <w:spacing w:line="360" w:lineRule="auto"/>
        <w:ind w:right="-468"/>
        <w:jc w:val="center"/>
        <w:rPr>
          <w:rFonts w:ascii="Verdana" w:hAnsi="Verdana"/>
          <w:sz w:val="20"/>
          <w:szCs w:val="20"/>
        </w:rPr>
      </w:pPr>
      <w:r>
        <w:rPr>
          <w:rFonts w:ascii="Verdana" w:hAnsi="Verdana"/>
          <w:sz w:val="20"/>
          <w:szCs w:val="20"/>
          <w:lang w:val="en-US"/>
        </w:rPr>
        <w:t xml:space="preserve"> </w:t>
      </w:r>
      <w:r w:rsidR="001B0E78">
        <w:rPr>
          <w:rFonts w:ascii="Verdana" w:hAnsi="Verdana"/>
          <w:sz w:val="20"/>
          <w:szCs w:val="20"/>
        </w:rPr>
        <w:t>представители на Управителния съвет на БФС и представители на Надзорния съвет на НЗОК, определени по реда на чл.45, ал.15 от Закона за здравното осигуряване</w:t>
      </w:r>
      <w:r w:rsidR="00CC7818">
        <w:rPr>
          <w:rFonts w:ascii="Verdana" w:hAnsi="Verdana"/>
          <w:sz w:val="20"/>
          <w:szCs w:val="20"/>
        </w:rPr>
        <w:t>.</w:t>
      </w:r>
    </w:p>
    <w:p w:rsidR="00F85CBD" w:rsidRPr="00E50C7C" w:rsidRDefault="00F85CBD" w:rsidP="00F85CBD">
      <w:pPr>
        <w:spacing w:line="360" w:lineRule="auto"/>
        <w:ind w:right="-468"/>
        <w:rPr>
          <w:rFonts w:ascii="Verdana" w:hAnsi="Verdana"/>
          <w:sz w:val="20"/>
          <w:szCs w:val="20"/>
        </w:rPr>
      </w:pPr>
    </w:p>
    <w:p w:rsidR="001B0E78" w:rsidRPr="001B0E78" w:rsidRDefault="00F85CBD" w:rsidP="00CC7818">
      <w:pPr>
        <w:spacing w:after="0" w:line="268" w:lineRule="auto"/>
        <w:ind w:firstLine="283"/>
        <w:jc w:val="both"/>
        <w:textAlignment w:val="center"/>
        <w:rPr>
          <w:rFonts w:ascii="Verdana" w:hAnsi="Verdana"/>
          <w:sz w:val="20"/>
          <w:szCs w:val="20"/>
        </w:rPr>
      </w:pPr>
      <w:r w:rsidRPr="00E61002">
        <w:rPr>
          <w:rFonts w:ascii="Verdana" w:hAnsi="Verdana"/>
          <w:b/>
          <w:sz w:val="20"/>
          <w:szCs w:val="20"/>
          <w:u w:val="single"/>
        </w:rPr>
        <w:t>ОТНОСНО</w:t>
      </w:r>
      <w:r w:rsidRPr="00F40F44">
        <w:rPr>
          <w:rFonts w:ascii="Verdana" w:hAnsi="Verdana"/>
          <w:b/>
          <w:sz w:val="20"/>
          <w:szCs w:val="20"/>
        </w:rPr>
        <w:t>:</w:t>
      </w:r>
      <w:r w:rsidRPr="00F40F44">
        <w:rPr>
          <w:rFonts w:ascii="Verdana" w:hAnsi="Verdana"/>
          <w:sz w:val="20"/>
          <w:szCs w:val="20"/>
        </w:rPr>
        <w:t xml:space="preserve"> </w:t>
      </w:r>
      <w:r w:rsidRPr="00090C0C">
        <w:rPr>
          <w:rFonts w:ascii="Verdana" w:hAnsi="Verdana"/>
          <w:sz w:val="20"/>
          <w:szCs w:val="20"/>
        </w:rPr>
        <w:t xml:space="preserve">Проект на </w:t>
      </w:r>
      <w:r w:rsidR="001B0E78" w:rsidRPr="001B0E78">
        <w:rPr>
          <w:rFonts w:ascii="Verdana" w:hAnsi="Verdana"/>
          <w:sz w:val="20"/>
          <w:szCs w:val="20"/>
        </w:rPr>
        <w:t>УСЛОВИЯ И РЕД ЗА ИЗМЕНЕНИЕ И ДОПЪЛНЕНИЕ НА УСЛОВИЯ И РЕД ЗА СКЛЮЧВАНЕ НА ДОГОВОРИ ЗА ОТПУСКАНЕ И ЗАПЛАЩАНЕ НА ЛЕКАРСТВЕНИ ПРОДУКТИ ПО ЧЛ.262, АЛ.6, Т.1 ОТ ЗАКОНА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НЗОК</w:t>
      </w:r>
    </w:p>
    <w:p w:rsidR="00F85CBD" w:rsidRPr="00E50C7C" w:rsidRDefault="00F85CBD" w:rsidP="00F85CBD">
      <w:pPr>
        <w:spacing w:line="360" w:lineRule="auto"/>
        <w:ind w:right="-468" w:firstLine="709"/>
        <w:jc w:val="both"/>
        <w:rPr>
          <w:rFonts w:ascii="Verdana" w:hAnsi="Verdana"/>
          <w:sz w:val="20"/>
          <w:szCs w:val="20"/>
        </w:rPr>
      </w:pPr>
    </w:p>
    <w:p w:rsidR="00F85CBD" w:rsidRDefault="00F85CBD" w:rsidP="00CC7818">
      <w:pPr>
        <w:spacing w:line="360" w:lineRule="auto"/>
        <w:ind w:right="-468" w:firstLine="708"/>
        <w:rPr>
          <w:rFonts w:ascii="Verdana" w:hAnsi="Verdana"/>
          <w:b/>
          <w:sz w:val="20"/>
          <w:szCs w:val="20"/>
        </w:rPr>
      </w:pPr>
      <w:r>
        <w:rPr>
          <w:rFonts w:ascii="Verdana" w:hAnsi="Verdana"/>
          <w:b/>
          <w:sz w:val="20"/>
          <w:szCs w:val="20"/>
        </w:rPr>
        <w:t xml:space="preserve">УВАЖАЕМИ </w:t>
      </w:r>
      <w:r w:rsidR="001B0E78">
        <w:rPr>
          <w:rFonts w:ascii="Verdana" w:hAnsi="Verdana"/>
          <w:b/>
          <w:sz w:val="20"/>
          <w:szCs w:val="20"/>
        </w:rPr>
        <w:t>дами и господа</w:t>
      </w:r>
      <w:r w:rsidRPr="00E50C7C">
        <w:rPr>
          <w:rFonts w:ascii="Verdana" w:hAnsi="Verdana"/>
          <w:b/>
          <w:sz w:val="20"/>
          <w:szCs w:val="20"/>
        </w:rPr>
        <w:t>,</w:t>
      </w:r>
    </w:p>
    <w:p w:rsidR="00F85CBD" w:rsidRDefault="00F85CBD" w:rsidP="00CC7818">
      <w:pPr>
        <w:spacing w:line="360" w:lineRule="auto"/>
        <w:ind w:firstLine="283"/>
        <w:jc w:val="both"/>
        <w:textAlignment w:val="center"/>
        <w:rPr>
          <w:rFonts w:ascii="Verdana" w:hAnsi="Verdana"/>
          <w:sz w:val="20"/>
          <w:szCs w:val="20"/>
          <w:lang w:eastAsia="en-GB"/>
        </w:rPr>
      </w:pPr>
      <w:r w:rsidRPr="006E3696">
        <w:rPr>
          <w:rFonts w:ascii="Verdana" w:hAnsi="Verdana"/>
          <w:sz w:val="20"/>
          <w:szCs w:val="20"/>
          <w:lang w:eastAsia="en-GB"/>
        </w:rPr>
        <w:t xml:space="preserve">На основание чл. </w:t>
      </w:r>
      <w:r w:rsidR="001B0E78">
        <w:rPr>
          <w:rFonts w:ascii="Verdana" w:hAnsi="Verdana"/>
          <w:sz w:val="20"/>
          <w:szCs w:val="20"/>
          <w:lang w:eastAsia="en-GB"/>
        </w:rPr>
        <w:t xml:space="preserve">45, ал.15 от Закона за здравното осигуряване </w:t>
      </w:r>
      <w:r w:rsidR="00CC7818">
        <w:rPr>
          <w:rFonts w:ascii="Verdana" w:hAnsi="Verdana"/>
          <w:sz w:val="20"/>
          <w:szCs w:val="20"/>
          <w:lang w:eastAsia="en-GB"/>
        </w:rPr>
        <w:t>и</w:t>
      </w:r>
      <w:r w:rsidR="001B0E78">
        <w:rPr>
          <w:rFonts w:ascii="Verdana" w:hAnsi="Verdana"/>
          <w:sz w:val="20"/>
          <w:szCs w:val="20"/>
          <w:lang w:eastAsia="en-GB"/>
        </w:rPr>
        <w:t xml:space="preserve"> след проведени срещи за преговори в периода </w:t>
      </w:r>
      <w:r w:rsidR="00823005">
        <w:rPr>
          <w:rFonts w:ascii="Verdana" w:hAnsi="Verdana"/>
          <w:sz w:val="20"/>
          <w:szCs w:val="20"/>
          <w:lang w:eastAsia="en-GB"/>
        </w:rPr>
        <w:t>м.ноември 2017г. – 23</w:t>
      </w:r>
      <w:r w:rsidR="001B0E78">
        <w:rPr>
          <w:rFonts w:ascii="Verdana" w:hAnsi="Verdana"/>
          <w:sz w:val="20"/>
          <w:szCs w:val="20"/>
          <w:lang w:eastAsia="en-GB"/>
        </w:rPr>
        <w:t xml:space="preserve"> февруари 201</w:t>
      </w:r>
      <w:r w:rsidR="00823005">
        <w:rPr>
          <w:rFonts w:ascii="Verdana" w:hAnsi="Verdana"/>
          <w:sz w:val="20"/>
          <w:szCs w:val="20"/>
          <w:lang w:eastAsia="en-GB"/>
        </w:rPr>
        <w:t>8</w:t>
      </w:r>
      <w:r w:rsidR="001B0E78">
        <w:rPr>
          <w:rFonts w:ascii="Verdana" w:hAnsi="Verdana"/>
          <w:sz w:val="20"/>
          <w:szCs w:val="20"/>
          <w:lang w:eastAsia="en-GB"/>
        </w:rPr>
        <w:t>г.</w:t>
      </w:r>
      <w:r w:rsidR="00CC7818">
        <w:rPr>
          <w:rFonts w:ascii="Verdana" w:hAnsi="Verdana"/>
          <w:sz w:val="20"/>
          <w:szCs w:val="20"/>
          <w:lang w:eastAsia="en-GB"/>
        </w:rPr>
        <w:t xml:space="preserve"> от представителите на НЗОК и на БФС е изготвен настоящия</w:t>
      </w:r>
      <w:r w:rsidR="001B0E78">
        <w:rPr>
          <w:rFonts w:ascii="Verdana" w:hAnsi="Verdana"/>
          <w:sz w:val="20"/>
          <w:szCs w:val="20"/>
          <w:lang w:eastAsia="en-GB"/>
        </w:rPr>
        <w:t xml:space="preserve"> проект на У</w:t>
      </w:r>
      <w:r w:rsidR="001B0E78" w:rsidRPr="001B0E78">
        <w:rPr>
          <w:rFonts w:ascii="Verdana" w:hAnsi="Verdana"/>
          <w:sz w:val="20"/>
          <w:szCs w:val="20"/>
          <w:lang w:eastAsia="en-GB"/>
        </w:rPr>
        <w:t xml:space="preserve">словия и ред за изменение и допълнение на </w:t>
      </w:r>
      <w:r w:rsidR="001B0E78">
        <w:rPr>
          <w:rFonts w:ascii="Verdana" w:hAnsi="Verdana"/>
          <w:sz w:val="20"/>
          <w:szCs w:val="20"/>
          <w:lang w:eastAsia="en-GB"/>
        </w:rPr>
        <w:t>У</w:t>
      </w:r>
      <w:r w:rsidR="001B0E78" w:rsidRPr="001B0E78">
        <w:rPr>
          <w:rFonts w:ascii="Verdana" w:hAnsi="Verdana"/>
          <w:sz w:val="20"/>
          <w:szCs w:val="20"/>
          <w:lang w:eastAsia="en-GB"/>
        </w:rPr>
        <w:t>словия и ред за сключване на договори за отпускане и заплащане на лекарствени пр</w:t>
      </w:r>
      <w:r w:rsidR="001B0E78">
        <w:rPr>
          <w:rFonts w:ascii="Verdana" w:hAnsi="Verdana"/>
          <w:sz w:val="20"/>
          <w:szCs w:val="20"/>
          <w:lang w:eastAsia="en-GB"/>
        </w:rPr>
        <w:t>одукти по чл.262, ал.6, т.1 от З</w:t>
      </w:r>
      <w:r w:rsidR="001B0E78" w:rsidRPr="001B0E78">
        <w:rPr>
          <w:rFonts w:ascii="Verdana" w:hAnsi="Verdana"/>
          <w:sz w:val="20"/>
          <w:szCs w:val="20"/>
          <w:lang w:eastAsia="en-GB"/>
        </w:rPr>
        <w:t xml:space="preserve">акона за лекарствените продукти в хуманната медицина, на медицински изделия и на диетични храни за специални медицински цели, заплащани напълно или частично от </w:t>
      </w:r>
      <w:r w:rsidR="001B0E78">
        <w:rPr>
          <w:rFonts w:ascii="Verdana" w:hAnsi="Verdana"/>
          <w:sz w:val="20"/>
          <w:szCs w:val="20"/>
          <w:lang w:eastAsia="en-GB"/>
        </w:rPr>
        <w:t>НЗОК.</w:t>
      </w:r>
    </w:p>
    <w:p w:rsidR="00F85CBD" w:rsidRDefault="001B0E78" w:rsidP="00CC7818">
      <w:pPr>
        <w:spacing w:line="360" w:lineRule="auto"/>
        <w:ind w:right="-468" w:firstLine="708"/>
        <w:jc w:val="both"/>
        <w:rPr>
          <w:rFonts w:ascii="Verdana" w:hAnsi="Verdana"/>
          <w:sz w:val="20"/>
          <w:szCs w:val="20"/>
        </w:rPr>
      </w:pPr>
      <w:r>
        <w:rPr>
          <w:rFonts w:ascii="Verdana" w:hAnsi="Verdana"/>
          <w:sz w:val="20"/>
          <w:szCs w:val="20"/>
        </w:rPr>
        <w:t>Действащите Условия и ред</w:t>
      </w:r>
      <w:r w:rsidR="00F85CBD">
        <w:rPr>
          <w:rFonts w:ascii="Verdana" w:hAnsi="Verdana"/>
          <w:sz w:val="20"/>
          <w:szCs w:val="20"/>
        </w:rPr>
        <w:t xml:space="preserve"> </w:t>
      </w:r>
      <w:r w:rsidRPr="001B0E78">
        <w:rPr>
          <w:rFonts w:ascii="Verdana" w:hAnsi="Verdana"/>
          <w:sz w:val="20"/>
          <w:szCs w:val="20"/>
        </w:rPr>
        <w:t>(</w:t>
      </w:r>
      <w:proofErr w:type="spellStart"/>
      <w:r w:rsidRPr="001B0E78">
        <w:rPr>
          <w:rFonts w:ascii="Verdana" w:hAnsi="Verdana"/>
          <w:sz w:val="20"/>
          <w:szCs w:val="20"/>
        </w:rPr>
        <w:t>Обн</w:t>
      </w:r>
      <w:proofErr w:type="spellEnd"/>
      <w:r w:rsidRPr="001B0E78">
        <w:rPr>
          <w:rFonts w:ascii="Verdana" w:hAnsi="Verdana"/>
          <w:sz w:val="20"/>
          <w:szCs w:val="20"/>
        </w:rPr>
        <w:t xml:space="preserve">. ДВ. бр.22 от 22 Март 2016г., изм. и доп. ДВ. бр.49 от 28 Юни 2016г) </w:t>
      </w:r>
      <w:r>
        <w:rPr>
          <w:rFonts w:ascii="Verdana" w:hAnsi="Verdana"/>
          <w:sz w:val="20"/>
          <w:szCs w:val="20"/>
        </w:rPr>
        <w:t>са издадени</w:t>
      </w:r>
      <w:r w:rsidR="00F85CBD">
        <w:rPr>
          <w:rFonts w:ascii="Verdana" w:hAnsi="Verdana"/>
          <w:sz w:val="20"/>
          <w:szCs w:val="20"/>
        </w:rPr>
        <w:t xml:space="preserve"> на основание чл.</w:t>
      </w:r>
      <w:r>
        <w:rPr>
          <w:rFonts w:ascii="Verdana" w:hAnsi="Verdana"/>
          <w:sz w:val="20"/>
          <w:szCs w:val="20"/>
        </w:rPr>
        <w:t xml:space="preserve">45, ал.15 от </w:t>
      </w:r>
      <w:r w:rsidR="00F85CBD">
        <w:rPr>
          <w:rFonts w:ascii="Verdana" w:hAnsi="Verdana"/>
          <w:sz w:val="20"/>
          <w:szCs w:val="20"/>
        </w:rPr>
        <w:t>З</w:t>
      </w:r>
      <w:r w:rsidR="00F85CBD" w:rsidRPr="001B0E78">
        <w:rPr>
          <w:rFonts w:ascii="Verdana" w:hAnsi="Verdana"/>
          <w:sz w:val="20"/>
          <w:szCs w:val="20"/>
        </w:rPr>
        <w:t>акон</w:t>
      </w:r>
      <w:r>
        <w:rPr>
          <w:rFonts w:ascii="Verdana" w:hAnsi="Verdana"/>
          <w:sz w:val="20"/>
          <w:szCs w:val="20"/>
        </w:rPr>
        <w:t>а</w:t>
      </w:r>
      <w:r w:rsidR="00F85CBD" w:rsidRPr="001B0E78">
        <w:rPr>
          <w:rFonts w:ascii="Verdana" w:hAnsi="Verdana"/>
          <w:sz w:val="20"/>
          <w:szCs w:val="20"/>
        </w:rPr>
        <w:t xml:space="preserve"> за </w:t>
      </w:r>
      <w:r>
        <w:rPr>
          <w:rFonts w:ascii="Verdana" w:hAnsi="Verdana"/>
          <w:sz w:val="20"/>
          <w:szCs w:val="20"/>
        </w:rPr>
        <w:t>здравното осигуряване</w:t>
      </w:r>
      <w:r w:rsidR="00F85CBD">
        <w:rPr>
          <w:rFonts w:ascii="Verdana" w:hAnsi="Verdana"/>
          <w:sz w:val="20"/>
          <w:szCs w:val="20"/>
        </w:rPr>
        <w:t xml:space="preserve"> и </w:t>
      </w:r>
      <w:r w:rsidR="00F85CBD" w:rsidRPr="00113EC3">
        <w:rPr>
          <w:rFonts w:ascii="Verdana" w:hAnsi="Verdana"/>
          <w:sz w:val="20"/>
          <w:szCs w:val="20"/>
        </w:rPr>
        <w:t>урежда</w:t>
      </w:r>
      <w:r>
        <w:rPr>
          <w:rFonts w:ascii="Verdana" w:hAnsi="Verdana"/>
          <w:sz w:val="20"/>
          <w:szCs w:val="20"/>
        </w:rPr>
        <w:t xml:space="preserve">т определените същата разпоредба обществени отношения относно : </w:t>
      </w:r>
      <w:r w:rsidR="00F85CBD" w:rsidRPr="00113EC3">
        <w:rPr>
          <w:rFonts w:ascii="Verdana" w:hAnsi="Verdana"/>
          <w:sz w:val="20"/>
          <w:szCs w:val="20"/>
        </w:rPr>
        <w:t xml:space="preserve"> </w:t>
      </w:r>
    </w:p>
    <w:p w:rsidR="001B0E78" w:rsidRPr="001B0E78" w:rsidRDefault="001B0E78" w:rsidP="00CC7818">
      <w:pPr>
        <w:spacing w:line="360" w:lineRule="auto"/>
        <w:rPr>
          <w:rFonts w:ascii="Verdana" w:hAnsi="Verdana"/>
          <w:sz w:val="20"/>
          <w:szCs w:val="20"/>
        </w:rPr>
      </w:pPr>
      <w:r w:rsidRPr="001B0E78">
        <w:rPr>
          <w:rFonts w:ascii="Verdana" w:hAnsi="Verdana"/>
          <w:sz w:val="20"/>
          <w:szCs w:val="20"/>
        </w:rPr>
        <w:t>1. условията, на които трябва да отговарят търговците на дребно на лекарствени продукти, както и реда за сключване на договори с тях;</w:t>
      </w:r>
    </w:p>
    <w:p w:rsidR="001B0E78" w:rsidRPr="001B0E78" w:rsidRDefault="001B0E78" w:rsidP="00CC7818">
      <w:pPr>
        <w:spacing w:line="360" w:lineRule="auto"/>
        <w:rPr>
          <w:rFonts w:ascii="Verdana" w:hAnsi="Verdana"/>
          <w:sz w:val="20"/>
          <w:szCs w:val="20"/>
        </w:rPr>
      </w:pPr>
      <w:r w:rsidRPr="001B0E78">
        <w:rPr>
          <w:rFonts w:ascii="Verdana" w:hAnsi="Verdana"/>
          <w:sz w:val="20"/>
          <w:szCs w:val="20"/>
        </w:rPr>
        <w:t>2. правата и задълженията на страните по договорите;</w:t>
      </w:r>
    </w:p>
    <w:p w:rsidR="001B0E78" w:rsidRPr="001B0E78" w:rsidRDefault="001B0E78" w:rsidP="00CC7818">
      <w:pPr>
        <w:spacing w:line="360" w:lineRule="auto"/>
        <w:rPr>
          <w:rFonts w:ascii="Verdana" w:hAnsi="Verdana"/>
          <w:sz w:val="20"/>
          <w:szCs w:val="20"/>
        </w:rPr>
      </w:pPr>
      <w:r w:rsidRPr="001B0E78">
        <w:rPr>
          <w:rFonts w:ascii="Verdana" w:hAnsi="Verdana"/>
          <w:sz w:val="20"/>
          <w:szCs w:val="20"/>
        </w:rPr>
        <w:t>3. условията и реда за извършване на дейностите от търговците на дребно с лекарствени продукти;</w:t>
      </w:r>
    </w:p>
    <w:p w:rsidR="001B0E78" w:rsidRPr="001B0E78" w:rsidRDefault="001B0E78" w:rsidP="00CC7818">
      <w:pPr>
        <w:spacing w:line="360" w:lineRule="auto"/>
        <w:rPr>
          <w:rFonts w:ascii="Verdana" w:hAnsi="Verdana"/>
          <w:sz w:val="20"/>
          <w:szCs w:val="20"/>
        </w:rPr>
      </w:pPr>
      <w:r w:rsidRPr="001B0E78">
        <w:rPr>
          <w:rFonts w:ascii="Verdana" w:hAnsi="Verdana"/>
          <w:sz w:val="20"/>
          <w:szCs w:val="20"/>
        </w:rPr>
        <w:t>4. критериите за качество и достъпност на дейностите;</w:t>
      </w:r>
    </w:p>
    <w:p w:rsidR="001B0E78" w:rsidRPr="001B0E78" w:rsidRDefault="001B0E78" w:rsidP="00CC7818">
      <w:pPr>
        <w:spacing w:line="360" w:lineRule="auto"/>
        <w:rPr>
          <w:rFonts w:ascii="Verdana" w:hAnsi="Verdana"/>
          <w:sz w:val="20"/>
          <w:szCs w:val="20"/>
        </w:rPr>
      </w:pPr>
      <w:r w:rsidRPr="001B0E78">
        <w:rPr>
          <w:rFonts w:ascii="Verdana" w:hAnsi="Verdana"/>
          <w:sz w:val="20"/>
          <w:szCs w:val="20"/>
        </w:rPr>
        <w:t>5. документация и отчетност;</w:t>
      </w:r>
    </w:p>
    <w:p w:rsidR="001B0E78" w:rsidRPr="001B0E78" w:rsidRDefault="001B0E78" w:rsidP="00CC7818">
      <w:pPr>
        <w:spacing w:line="360" w:lineRule="auto"/>
        <w:rPr>
          <w:rFonts w:ascii="Verdana" w:hAnsi="Verdana"/>
          <w:sz w:val="20"/>
          <w:szCs w:val="20"/>
        </w:rPr>
      </w:pPr>
      <w:r w:rsidRPr="001B0E78">
        <w:rPr>
          <w:rFonts w:ascii="Verdana" w:hAnsi="Verdana"/>
          <w:sz w:val="20"/>
          <w:szCs w:val="20"/>
        </w:rPr>
        <w:lastRenderedPageBreak/>
        <w:t>6. задълженията на страните по информационното осигуряване и обмена на информация;</w:t>
      </w:r>
    </w:p>
    <w:p w:rsidR="001B0E78" w:rsidRPr="001B0E78" w:rsidRDefault="001B0E78" w:rsidP="00CC7818">
      <w:pPr>
        <w:spacing w:line="360" w:lineRule="auto"/>
        <w:rPr>
          <w:rFonts w:ascii="Verdana" w:hAnsi="Verdana"/>
          <w:sz w:val="20"/>
          <w:szCs w:val="20"/>
        </w:rPr>
      </w:pPr>
      <w:r w:rsidRPr="001B0E78">
        <w:rPr>
          <w:rFonts w:ascii="Verdana" w:hAnsi="Verdana"/>
          <w:sz w:val="20"/>
          <w:szCs w:val="20"/>
        </w:rPr>
        <w:t>7. видовете санкции при нарушаване на договорите, както и реда за налагането им.</w:t>
      </w:r>
    </w:p>
    <w:p w:rsidR="00F85CBD" w:rsidRPr="00C6154B" w:rsidRDefault="001B0E78" w:rsidP="00CC7818">
      <w:pPr>
        <w:spacing w:line="360" w:lineRule="auto"/>
        <w:ind w:right="-468"/>
        <w:jc w:val="both"/>
        <w:rPr>
          <w:rFonts w:ascii="Verdana" w:hAnsi="Verdana"/>
          <w:sz w:val="20"/>
          <w:szCs w:val="20"/>
        </w:rPr>
      </w:pPr>
      <w:r>
        <w:rPr>
          <w:rFonts w:ascii="Verdana" w:hAnsi="Verdana"/>
          <w:sz w:val="20"/>
          <w:szCs w:val="20"/>
        </w:rPr>
        <w:tab/>
      </w:r>
      <w:r w:rsidR="00F85CBD" w:rsidRPr="00FA2942">
        <w:rPr>
          <w:rFonts w:ascii="Verdana" w:hAnsi="Verdana"/>
          <w:sz w:val="20"/>
          <w:szCs w:val="20"/>
        </w:rPr>
        <w:t xml:space="preserve">С проекта на </w:t>
      </w:r>
      <w:r>
        <w:rPr>
          <w:rFonts w:ascii="Verdana" w:hAnsi="Verdana"/>
          <w:sz w:val="20"/>
          <w:szCs w:val="20"/>
        </w:rPr>
        <w:t>У</w:t>
      </w:r>
      <w:r w:rsidR="00F85CBD" w:rsidRPr="00FA2942">
        <w:rPr>
          <w:rFonts w:ascii="Verdana" w:hAnsi="Verdana"/>
          <w:sz w:val="20"/>
          <w:szCs w:val="20"/>
        </w:rPr>
        <w:t>И</w:t>
      </w:r>
      <w:r w:rsidR="00F85CBD">
        <w:rPr>
          <w:rFonts w:ascii="Verdana" w:hAnsi="Verdana"/>
          <w:sz w:val="20"/>
          <w:szCs w:val="20"/>
        </w:rPr>
        <w:t xml:space="preserve">Д на </w:t>
      </w:r>
      <w:r>
        <w:rPr>
          <w:rFonts w:ascii="Verdana" w:hAnsi="Verdana"/>
          <w:sz w:val="20"/>
          <w:szCs w:val="20"/>
        </w:rPr>
        <w:t>Условията и ред</w:t>
      </w:r>
      <w:r w:rsidR="00F85CBD" w:rsidRPr="00FA2942">
        <w:rPr>
          <w:rFonts w:ascii="Verdana" w:hAnsi="Verdana"/>
          <w:sz w:val="20"/>
          <w:szCs w:val="20"/>
        </w:rPr>
        <w:t xml:space="preserve"> </w:t>
      </w:r>
      <w:r w:rsidR="00F85CBD">
        <w:rPr>
          <w:rFonts w:ascii="Verdana" w:hAnsi="Verdana"/>
          <w:sz w:val="20"/>
          <w:szCs w:val="20"/>
        </w:rPr>
        <w:t>са изменени дей</w:t>
      </w:r>
      <w:r>
        <w:rPr>
          <w:rFonts w:ascii="Verdana" w:hAnsi="Verdana"/>
          <w:sz w:val="20"/>
          <w:szCs w:val="20"/>
        </w:rPr>
        <w:t>стващите разпоредби, свързани със срока на действие на акта</w:t>
      </w:r>
      <w:r w:rsidR="00CC7818">
        <w:rPr>
          <w:rFonts w:ascii="Verdana" w:hAnsi="Verdana"/>
          <w:sz w:val="20"/>
          <w:szCs w:val="20"/>
        </w:rPr>
        <w:t xml:space="preserve"> (до 31.03.201</w:t>
      </w:r>
      <w:r w:rsidR="00823005">
        <w:rPr>
          <w:rFonts w:ascii="Verdana" w:hAnsi="Verdana"/>
          <w:sz w:val="20"/>
          <w:szCs w:val="20"/>
        </w:rPr>
        <w:t>8</w:t>
      </w:r>
      <w:r w:rsidR="00CC7818">
        <w:rPr>
          <w:rFonts w:ascii="Verdana" w:hAnsi="Verdana"/>
          <w:sz w:val="20"/>
          <w:szCs w:val="20"/>
        </w:rPr>
        <w:t>г.)</w:t>
      </w:r>
      <w:r>
        <w:rPr>
          <w:rFonts w:ascii="Verdana" w:hAnsi="Verdana"/>
          <w:sz w:val="20"/>
          <w:szCs w:val="20"/>
        </w:rPr>
        <w:t>; промени,</w:t>
      </w:r>
      <w:r w:rsidR="00823005">
        <w:rPr>
          <w:rFonts w:ascii="Verdana" w:hAnsi="Verdana"/>
          <w:sz w:val="20"/>
          <w:szCs w:val="20"/>
        </w:rPr>
        <w:t xml:space="preserve"> свързани с преодоляване на празноти и противоречиво тълкуване в практиката</w:t>
      </w:r>
      <w:r>
        <w:rPr>
          <w:rFonts w:ascii="Verdana" w:hAnsi="Verdana"/>
          <w:sz w:val="20"/>
          <w:szCs w:val="20"/>
        </w:rPr>
        <w:t>; прецизиране на уредбата на определени отношения.</w:t>
      </w:r>
    </w:p>
    <w:p w:rsidR="001B0E78" w:rsidRDefault="00F85CBD" w:rsidP="00F85CBD">
      <w:pPr>
        <w:spacing w:line="360" w:lineRule="auto"/>
        <w:ind w:right="-468" w:firstLine="708"/>
        <w:jc w:val="both"/>
        <w:rPr>
          <w:rFonts w:ascii="Verdana" w:hAnsi="Verdana"/>
          <w:sz w:val="20"/>
          <w:szCs w:val="20"/>
        </w:rPr>
      </w:pPr>
      <w:r>
        <w:rPr>
          <w:rFonts w:ascii="Verdana" w:hAnsi="Verdana"/>
          <w:sz w:val="20"/>
          <w:szCs w:val="20"/>
        </w:rPr>
        <w:t xml:space="preserve">Предложените изменения са насочени към постигане на оптимално съотношение между обема на административните изисквания и постигането на необходимият контрол във всички етапи на </w:t>
      </w:r>
      <w:r w:rsidR="001B0E78">
        <w:rPr>
          <w:rFonts w:ascii="Verdana" w:hAnsi="Verdana"/>
          <w:sz w:val="20"/>
          <w:szCs w:val="20"/>
        </w:rPr>
        <w:t>отпускане на продукти, които се заплащат от бюджета на НЗОК</w:t>
      </w:r>
      <w:r>
        <w:rPr>
          <w:rFonts w:ascii="Verdana" w:hAnsi="Verdana"/>
          <w:sz w:val="20"/>
          <w:szCs w:val="20"/>
        </w:rPr>
        <w:t>. Очакваният ефект е постигане на</w:t>
      </w:r>
      <w:r w:rsidR="001B0E78">
        <w:rPr>
          <w:rFonts w:ascii="Verdana" w:hAnsi="Verdana"/>
          <w:sz w:val="20"/>
          <w:szCs w:val="20"/>
        </w:rPr>
        <w:t xml:space="preserve"> сигурност за пациентите и за публичния фонд при извършване на дейностите по договорите.</w:t>
      </w:r>
    </w:p>
    <w:p w:rsidR="00F85CBD" w:rsidRPr="007A7511" w:rsidRDefault="00F85CBD" w:rsidP="00F85CBD">
      <w:pPr>
        <w:spacing w:line="360" w:lineRule="auto"/>
        <w:ind w:right="-468" w:firstLine="708"/>
        <w:jc w:val="both"/>
        <w:rPr>
          <w:rFonts w:ascii="Verdana" w:hAnsi="Verdana"/>
          <w:sz w:val="20"/>
          <w:szCs w:val="20"/>
        </w:rPr>
      </w:pPr>
      <w:r w:rsidRPr="007A7511">
        <w:rPr>
          <w:rFonts w:ascii="Verdana" w:hAnsi="Verdana"/>
          <w:sz w:val="20"/>
          <w:szCs w:val="20"/>
        </w:rPr>
        <w:t xml:space="preserve">Проектът на </w:t>
      </w:r>
      <w:r w:rsidR="00CC7818">
        <w:rPr>
          <w:rFonts w:ascii="Verdana" w:hAnsi="Verdana"/>
          <w:sz w:val="20"/>
          <w:szCs w:val="20"/>
        </w:rPr>
        <w:t>Условия и ред</w:t>
      </w:r>
      <w:r w:rsidRPr="007A7511">
        <w:rPr>
          <w:rFonts w:ascii="Verdana" w:hAnsi="Verdana"/>
          <w:sz w:val="20"/>
          <w:szCs w:val="20"/>
        </w:rPr>
        <w:t xml:space="preserve"> няма да окаже пряко и/или косвено въздействие върху държавния бюджет</w:t>
      </w:r>
      <w:r w:rsidR="00CC7818">
        <w:rPr>
          <w:rFonts w:ascii="Verdana" w:hAnsi="Verdana"/>
          <w:sz w:val="20"/>
          <w:szCs w:val="20"/>
        </w:rPr>
        <w:t>, бюджета на НЗОК</w:t>
      </w:r>
      <w:r w:rsidR="001B0E78">
        <w:rPr>
          <w:rFonts w:ascii="Verdana" w:hAnsi="Verdana"/>
          <w:sz w:val="20"/>
          <w:szCs w:val="20"/>
        </w:rPr>
        <w:t xml:space="preserve"> и дейностите на търговците на дребно, като не налага извършването на инвестиции в персонал и оборудване</w:t>
      </w:r>
      <w:r w:rsidRPr="007A7511">
        <w:rPr>
          <w:rFonts w:ascii="Verdana" w:hAnsi="Verdana"/>
          <w:sz w:val="20"/>
          <w:szCs w:val="20"/>
        </w:rPr>
        <w:t>.</w:t>
      </w:r>
    </w:p>
    <w:p w:rsidR="00F85CBD" w:rsidRPr="007A7511" w:rsidRDefault="00F85CBD" w:rsidP="00F85CBD">
      <w:pPr>
        <w:spacing w:line="360" w:lineRule="auto"/>
        <w:ind w:right="-468" w:firstLine="708"/>
        <w:jc w:val="both"/>
        <w:rPr>
          <w:rFonts w:ascii="Verdana" w:hAnsi="Verdana"/>
          <w:sz w:val="20"/>
          <w:szCs w:val="20"/>
        </w:rPr>
      </w:pPr>
      <w:r w:rsidRPr="007A7511">
        <w:rPr>
          <w:rFonts w:ascii="Verdana" w:hAnsi="Verdana"/>
          <w:sz w:val="20"/>
          <w:szCs w:val="20"/>
        </w:rPr>
        <w:t xml:space="preserve">Проектът на </w:t>
      </w:r>
      <w:r w:rsidR="00CC7818">
        <w:rPr>
          <w:rFonts w:ascii="Verdana" w:hAnsi="Verdana"/>
          <w:sz w:val="20"/>
          <w:szCs w:val="20"/>
        </w:rPr>
        <w:t>акта</w:t>
      </w:r>
      <w:r w:rsidRPr="007A7511">
        <w:rPr>
          <w:rFonts w:ascii="Verdana" w:hAnsi="Verdana"/>
          <w:sz w:val="20"/>
          <w:szCs w:val="20"/>
        </w:rPr>
        <w:t xml:space="preserve"> не е свързан с транспониране в националното законодателство на актове на ЕС, поради което </w:t>
      </w:r>
      <w:r>
        <w:rPr>
          <w:rFonts w:ascii="Verdana" w:hAnsi="Verdana"/>
          <w:sz w:val="20"/>
          <w:szCs w:val="20"/>
        </w:rPr>
        <w:t xml:space="preserve">към него </w:t>
      </w:r>
      <w:r w:rsidRPr="007A7511">
        <w:rPr>
          <w:rFonts w:ascii="Verdana" w:hAnsi="Verdana"/>
          <w:sz w:val="20"/>
          <w:szCs w:val="20"/>
        </w:rPr>
        <w:t>не е приложена таблица за съответствие с европейското право.</w:t>
      </w:r>
    </w:p>
    <w:p w:rsidR="00F85CBD" w:rsidRPr="00090C0C" w:rsidRDefault="00F85CBD" w:rsidP="00F85CBD">
      <w:pPr>
        <w:spacing w:line="360" w:lineRule="auto"/>
        <w:ind w:right="-468" w:firstLine="708"/>
        <w:jc w:val="both"/>
        <w:rPr>
          <w:rFonts w:ascii="Verdana" w:hAnsi="Verdana"/>
          <w:sz w:val="20"/>
          <w:szCs w:val="20"/>
        </w:rPr>
      </w:pPr>
      <w:r>
        <w:rPr>
          <w:rFonts w:ascii="Verdana" w:hAnsi="Verdana"/>
          <w:sz w:val="20"/>
          <w:szCs w:val="20"/>
        </w:rPr>
        <w:t xml:space="preserve">Съгласно чл. 26, ал. </w:t>
      </w:r>
      <w:r w:rsidR="001B0E78">
        <w:rPr>
          <w:rFonts w:ascii="Verdana" w:hAnsi="Verdana"/>
          <w:sz w:val="20"/>
          <w:szCs w:val="20"/>
        </w:rPr>
        <w:t>3</w:t>
      </w:r>
      <w:r w:rsidRPr="007C0E0F">
        <w:rPr>
          <w:rFonts w:ascii="Verdana" w:hAnsi="Verdana"/>
          <w:sz w:val="20"/>
          <w:szCs w:val="20"/>
        </w:rPr>
        <w:t xml:space="preserve"> от Закона за нормативните актове проектът е публикуван на интернет страницата на </w:t>
      </w:r>
      <w:r w:rsidR="001B0E78">
        <w:rPr>
          <w:rFonts w:ascii="Verdana" w:hAnsi="Verdana"/>
          <w:sz w:val="20"/>
          <w:szCs w:val="20"/>
        </w:rPr>
        <w:t>Националната здравноосигурителна каса</w:t>
      </w:r>
      <w:r w:rsidRPr="007C0E0F">
        <w:rPr>
          <w:rFonts w:ascii="Verdana" w:hAnsi="Verdana"/>
          <w:sz w:val="20"/>
          <w:szCs w:val="20"/>
        </w:rPr>
        <w:t>.</w:t>
      </w:r>
    </w:p>
    <w:p w:rsidR="00F85CBD" w:rsidRDefault="00F85CBD" w:rsidP="00F85CBD">
      <w:pPr>
        <w:spacing w:line="360" w:lineRule="auto"/>
        <w:ind w:right="-468"/>
        <w:jc w:val="both"/>
        <w:rPr>
          <w:rFonts w:ascii="Verdana" w:hAnsi="Verdana"/>
          <w:b/>
          <w:sz w:val="20"/>
          <w:szCs w:val="20"/>
        </w:rPr>
      </w:pPr>
    </w:p>
    <w:p w:rsidR="00F85CBD" w:rsidRPr="008B2977" w:rsidRDefault="00F85CBD" w:rsidP="007B39E1">
      <w:pPr>
        <w:spacing w:after="0" w:line="268" w:lineRule="auto"/>
        <w:ind w:firstLine="283"/>
        <w:jc w:val="both"/>
        <w:textAlignment w:val="center"/>
        <w:rPr>
          <w:rFonts w:ascii="Times New Roman" w:eastAsia="Times New Roman" w:hAnsi="Times New Roman" w:cs="Times New Roman"/>
          <w:color w:val="000000"/>
          <w:sz w:val="26"/>
          <w:szCs w:val="26"/>
          <w:lang w:eastAsia="bg-BG"/>
        </w:rPr>
      </w:pPr>
    </w:p>
    <w:sectPr w:rsidR="00F85CBD" w:rsidRPr="008B2977" w:rsidSect="000D4AD6">
      <w:pgSz w:w="12240" w:h="15840"/>
      <w:pgMar w:top="127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F0F4E"/>
    <w:multiLevelType w:val="hybridMultilevel"/>
    <w:tmpl w:val="A706352A"/>
    <w:lvl w:ilvl="0" w:tplc="2FC28200">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
    <w:nsid w:val="388C227C"/>
    <w:multiLevelType w:val="hybridMultilevel"/>
    <w:tmpl w:val="EFC2A1FE"/>
    <w:lvl w:ilvl="0" w:tplc="1A9E905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4D34076B"/>
    <w:multiLevelType w:val="hybridMultilevel"/>
    <w:tmpl w:val="6610EB64"/>
    <w:lvl w:ilvl="0" w:tplc="91F29F4A">
      <w:start w:val="1"/>
      <w:numFmt w:val="decimal"/>
      <w:lvlText w:val="%1."/>
      <w:lvlJc w:val="left"/>
      <w:pPr>
        <w:ind w:left="1080" w:hanging="360"/>
      </w:pPr>
      <w:rPr>
        <w:rFonts w:eastAsia="SimSun"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compat>
    <w:compatSetting w:name="compatibilityMode" w:uri="http://schemas.microsoft.com/office/word" w:val="12"/>
  </w:compat>
  <w:rsids>
    <w:rsidRoot w:val="007B39E1"/>
    <w:rsid w:val="000B55D3"/>
    <w:rsid w:val="000D4AD6"/>
    <w:rsid w:val="001253C7"/>
    <w:rsid w:val="0017252C"/>
    <w:rsid w:val="001B0E78"/>
    <w:rsid w:val="001B1A21"/>
    <w:rsid w:val="002B08D2"/>
    <w:rsid w:val="002E1B46"/>
    <w:rsid w:val="003224D7"/>
    <w:rsid w:val="003C449A"/>
    <w:rsid w:val="004B3D09"/>
    <w:rsid w:val="0058677B"/>
    <w:rsid w:val="00644C79"/>
    <w:rsid w:val="006504C5"/>
    <w:rsid w:val="00656F16"/>
    <w:rsid w:val="007B39E1"/>
    <w:rsid w:val="00823005"/>
    <w:rsid w:val="00872DB4"/>
    <w:rsid w:val="008B2977"/>
    <w:rsid w:val="0091444F"/>
    <w:rsid w:val="00963DBA"/>
    <w:rsid w:val="00977E7E"/>
    <w:rsid w:val="009D47E4"/>
    <w:rsid w:val="00AF02CC"/>
    <w:rsid w:val="00B12415"/>
    <w:rsid w:val="00B723AE"/>
    <w:rsid w:val="00B77A4E"/>
    <w:rsid w:val="00C95717"/>
    <w:rsid w:val="00CB0488"/>
    <w:rsid w:val="00CC1F53"/>
    <w:rsid w:val="00CC7818"/>
    <w:rsid w:val="00D13A92"/>
    <w:rsid w:val="00D322A8"/>
    <w:rsid w:val="00D54648"/>
    <w:rsid w:val="00D67EAB"/>
    <w:rsid w:val="00D755F7"/>
    <w:rsid w:val="00E61DC7"/>
    <w:rsid w:val="00F22E0B"/>
    <w:rsid w:val="00F55C4A"/>
    <w:rsid w:val="00F85CBD"/>
    <w:rsid w:val="00FA1E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39E1"/>
    <w:rPr>
      <w:lang w:val="bg-BG"/>
    </w:rPr>
  </w:style>
  <w:style w:type="paragraph" w:styleId="Heading1">
    <w:name w:val="heading 1"/>
    <w:basedOn w:val="Normal"/>
    <w:next w:val="Normal"/>
    <w:link w:val="Heading1Char"/>
    <w:qFormat/>
    <w:rsid w:val="00F85CBD"/>
    <w:pPr>
      <w:keepNext/>
      <w:spacing w:after="0" w:line="240" w:lineRule="auto"/>
      <w:jc w:val="center"/>
      <w:outlineLvl w:val="0"/>
    </w:pPr>
    <w:rPr>
      <w:rFonts w:ascii="Times New Roman" w:eastAsia="Times New Roman" w:hAnsi="Times New Roman" w:cs="Times New Roman"/>
      <w:b/>
      <w:sz w:val="28"/>
      <w:szCs w:val="20"/>
      <w:lan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B39E1"/>
    <w:rPr>
      <w:sz w:val="16"/>
      <w:szCs w:val="16"/>
    </w:rPr>
  </w:style>
  <w:style w:type="paragraph" w:styleId="CommentText">
    <w:name w:val="annotation text"/>
    <w:basedOn w:val="Normal"/>
    <w:link w:val="CommentTextChar"/>
    <w:uiPriority w:val="99"/>
    <w:semiHidden/>
    <w:unhideWhenUsed/>
    <w:rsid w:val="007B39E1"/>
    <w:pPr>
      <w:spacing w:line="240" w:lineRule="auto"/>
    </w:pPr>
    <w:rPr>
      <w:sz w:val="20"/>
      <w:szCs w:val="20"/>
    </w:rPr>
  </w:style>
  <w:style w:type="character" w:customStyle="1" w:styleId="CommentTextChar">
    <w:name w:val="Comment Text Char"/>
    <w:basedOn w:val="DefaultParagraphFont"/>
    <w:link w:val="CommentText"/>
    <w:uiPriority w:val="99"/>
    <w:semiHidden/>
    <w:rsid w:val="007B39E1"/>
    <w:rPr>
      <w:sz w:val="20"/>
      <w:szCs w:val="20"/>
      <w:lang w:val="bg-BG"/>
    </w:rPr>
  </w:style>
  <w:style w:type="paragraph" w:styleId="BalloonText">
    <w:name w:val="Balloon Text"/>
    <w:basedOn w:val="Normal"/>
    <w:link w:val="BalloonTextChar"/>
    <w:uiPriority w:val="99"/>
    <w:semiHidden/>
    <w:unhideWhenUsed/>
    <w:rsid w:val="007B39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B39E1"/>
    <w:rPr>
      <w:rFonts w:ascii="Tahoma" w:hAnsi="Tahoma" w:cs="Tahoma"/>
      <w:sz w:val="16"/>
      <w:szCs w:val="16"/>
      <w:lang w:val="bg-BG"/>
    </w:rPr>
  </w:style>
  <w:style w:type="character" w:styleId="Hyperlink">
    <w:name w:val="Hyperlink"/>
    <w:basedOn w:val="DefaultParagraphFont"/>
    <w:uiPriority w:val="99"/>
    <w:semiHidden/>
    <w:unhideWhenUsed/>
    <w:rsid w:val="001253C7"/>
    <w:rPr>
      <w:color w:val="0000FF"/>
      <w:u w:val="single"/>
    </w:rPr>
  </w:style>
  <w:style w:type="paragraph" w:styleId="NormalWeb">
    <w:name w:val="Normal (Web)"/>
    <w:basedOn w:val="Normal"/>
    <w:uiPriority w:val="99"/>
    <w:semiHidden/>
    <w:unhideWhenUsed/>
    <w:rsid w:val="00D322A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644C79"/>
    <w:pPr>
      <w:ind w:left="720"/>
      <w:contextualSpacing/>
    </w:pPr>
  </w:style>
  <w:style w:type="character" w:customStyle="1" w:styleId="Heading1Char">
    <w:name w:val="Heading 1 Char"/>
    <w:basedOn w:val="DefaultParagraphFont"/>
    <w:link w:val="Heading1"/>
    <w:rsid w:val="00F85CBD"/>
    <w:rPr>
      <w:rFonts w:ascii="Times New Roman" w:eastAsia="Times New Roman" w:hAnsi="Times New Roman" w:cs="Times New Roman"/>
      <w:b/>
      <w:sz w:val="28"/>
      <w:szCs w:val="20"/>
      <w:lang w:val="bg-BG" w:eastAsia="bg-BG"/>
    </w:rPr>
  </w:style>
  <w:style w:type="paragraph" w:styleId="BodyText">
    <w:name w:val="Body Text"/>
    <w:basedOn w:val="Normal"/>
    <w:link w:val="BodyTextChar"/>
    <w:rsid w:val="00F85CBD"/>
    <w:pPr>
      <w:spacing w:after="0" w:line="240" w:lineRule="auto"/>
      <w:jc w:val="both"/>
    </w:pPr>
    <w:rPr>
      <w:rFonts w:ascii="Times New Roman" w:eastAsia="Times New Roman" w:hAnsi="Times New Roman" w:cs="Times New Roman"/>
      <w:b/>
      <w:sz w:val="28"/>
      <w:szCs w:val="20"/>
      <w:lang w:eastAsia="bg-BG"/>
    </w:rPr>
  </w:style>
  <w:style w:type="character" w:customStyle="1" w:styleId="BodyTextChar">
    <w:name w:val="Body Text Char"/>
    <w:basedOn w:val="DefaultParagraphFont"/>
    <w:link w:val="BodyText"/>
    <w:rsid w:val="00F85CBD"/>
    <w:rPr>
      <w:rFonts w:ascii="Times New Roman" w:eastAsia="Times New Roman" w:hAnsi="Times New Roman" w:cs="Times New Roman"/>
      <w:b/>
      <w:sz w:val="28"/>
      <w:szCs w:val="20"/>
      <w:lang w:val="bg-B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492078">
      <w:bodyDiv w:val="1"/>
      <w:marLeft w:val="0"/>
      <w:marRight w:val="0"/>
      <w:marTop w:val="0"/>
      <w:marBottom w:val="0"/>
      <w:divBdr>
        <w:top w:val="none" w:sz="0" w:space="0" w:color="auto"/>
        <w:left w:val="none" w:sz="0" w:space="0" w:color="auto"/>
        <w:bottom w:val="none" w:sz="0" w:space="0" w:color="auto"/>
        <w:right w:val="none" w:sz="0" w:space="0" w:color="auto"/>
      </w:divBdr>
      <w:divsChild>
        <w:div w:id="1315455837">
          <w:marLeft w:val="0"/>
          <w:marRight w:val="0"/>
          <w:marTop w:val="0"/>
          <w:marBottom w:val="0"/>
          <w:divBdr>
            <w:top w:val="none" w:sz="0" w:space="0" w:color="auto"/>
            <w:left w:val="none" w:sz="0" w:space="0" w:color="auto"/>
            <w:bottom w:val="none" w:sz="0" w:space="0" w:color="auto"/>
            <w:right w:val="none" w:sz="0" w:space="0" w:color="auto"/>
          </w:divBdr>
        </w:div>
        <w:div w:id="1373579781">
          <w:marLeft w:val="0"/>
          <w:marRight w:val="0"/>
          <w:marTop w:val="0"/>
          <w:marBottom w:val="0"/>
          <w:divBdr>
            <w:top w:val="none" w:sz="0" w:space="0" w:color="auto"/>
            <w:left w:val="none" w:sz="0" w:space="0" w:color="auto"/>
            <w:bottom w:val="none" w:sz="0" w:space="0" w:color="auto"/>
            <w:right w:val="none" w:sz="0" w:space="0" w:color="auto"/>
          </w:divBdr>
        </w:div>
        <w:div w:id="183903385">
          <w:marLeft w:val="0"/>
          <w:marRight w:val="0"/>
          <w:marTop w:val="0"/>
          <w:marBottom w:val="0"/>
          <w:divBdr>
            <w:top w:val="none" w:sz="0" w:space="0" w:color="auto"/>
            <w:left w:val="none" w:sz="0" w:space="0" w:color="auto"/>
            <w:bottom w:val="none" w:sz="0" w:space="0" w:color="auto"/>
            <w:right w:val="none" w:sz="0" w:space="0" w:color="auto"/>
          </w:divBdr>
        </w:div>
        <w:div w:id="555899462">
          <w:marLeft w:val="0"/>
          <w:marRight w:val="0"/>
          <w:marTop w:val="0"/>
          <w:marBottom w:val="0"/>
          <w:divBdr>
            <w:top w:val="none" w:sz="0" w:space="0" w:color="auto"/>
            <w:left w:val="none" w:sz="0" w:space="0" w:color="auto"/>
            <w:bottom w:val="none" w:sz="0" w:space="0" w:color="auto"/>
            <w:right w:val="none" w:sz="0" w:space="0" w:color="auto"/>
          </w:divBdr>
        </w:div>
        <w:div w:id="1334795081">
          <w:marLeft w:val="0"/>
          <w:marRight w:val="0"/>
          <w:marTop w:val="0"/>
          <w:marBottom w:val="0"/>
          <w:divBdr>
            <w:top w:val="none" w:sz="0" w:space="0" w:color="auto"/>
            <w:left w:val="none" w:sz="0" w:space="0" w:color="auto"/>
            <w:bottom w:val="none" w:sz="0" w:space="0" w:color="auto"/>
            <w:right w:val="none" w:sz="0" w:space="0" w:color="auto"/>
          </w:divBdr>
        </w:div>
        <w:div w:id="388767017">
          <w:marLeft w:val="0"/>
          <w:marRight w:val="0"/>
          <w:marTop w:val="0"/>
          <w:marBottom w:val="0"/>
          <w:divBdr>
            <w:top w:val="none" w:sz="0" w:space="0" w:color="auto"/>
            <w:left w:val="none" w:sz="0" w:space="0" w:color="auto"/>
            <w:bottom w:val="none" w:sz="0" w:space="0" w:color="auto"/>
            <w:right w:val="none" w:sz="0" w:space="0" w:color="auto"/>
          </w:divBdr>
        </w:div>
        <w:div w:id="1094010702">
          <w:marLeft w:val="0"/>
          <w:marRight w:val="0"/>
          <w:marTop w:val="0"/>
          <w:marBottom w:val="0"/>
          <w:divBdr>
            <w:top w:val="none" w:sz="0" w:space="0" w:color="auto"/>
            <w:left w:val="none" w:sz="0" w:space="0" w:color="auto"/>
            <w:bottom w:val="none" w:sz="0" w:space="0" w:color="auto"/>
            <w:right w:val="none" w:sz="0" w:space="0" w:color="auto"/>
          </w:divBdr>
        </w:div>
      </w:divsChild>
    </w:div>
    <w:div w:id="1285770575">
      <w:bodyDiv w:val="1"/>
      <w:marLeft w:val="0"/>
      <w:marRight w:val="0"/>
      <w:marTop w:val="0"/>
      <w:marBottom w:val="0"/>
      <w:divBdr>
        <w:top w:val="none" w:sz="0" w:space="0" w:color="auto"/>
        <w:left w:val="none" w:sz="0" w:space="0" w:color="auto"/>
        <w:bottom w:val="none" w:sz="0" w:space="0" w:color="auto"/>
        <w:right w:val="none" w:sz="0" w:space="0" w:color="auto"/>
      </w:divBdr>
    </w:div>
    <w:div w:id="1529683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eb.apis.bg/e.php?b=1&amp;i=447302" TargetMode="External"/><Relationship Id="rId3" Type="http://schemas.microsoft.com/office/2007/relationships/stylesWithEffects" Target="stylesWithEffects.xml"/><Relationship Id="rId7" Type="http://schemas.openxmlformats.org/officeDocument/2006/relationships/hyperlink" Target="http://web.apis.bg/e.php?b=1&amp;i=4445"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eb.apis.bg/e.php?b=1&amp;i=180446"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eur-lex.europa.eu/LexUriServ/LexUriServ.do?uri=OJ:L:2011:088:0045:0065:EN:PDF" TargetMode="External"/><Relationship Id="rId4" Type="http://schemas.openxmlformats.org/officeDocument/2006/relationships/settings" Target="settings.xml"/><Relationship Id="rId9" Type="http://schemas.openxmlformats.org/officeDocument/2006/relationships/hyperlink" Target="http://web.apis.bg/e.php?b=1&amp;i=180446" TargetMode="Externa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2011</Words>
  <Characters>11463</Characters>
  <Application>Microsoft Office Word</Application>
  <DocSecurity>0</DocSecurity>
  <Lines>95</Lines>
  <Paragraphs>26</Paragraphs>
  <ScaleCrop>false</ScaleCrop>
  <HeadingPairs>
    <vt:vector size="2" baseType="variant">
      <vt:variant>
        <vt:lpstr>Заглавие</vt:lpstr>
      </vt:variant>
      <vt:variant>
        <vt:i4>1</vt:i4>
      </vt:variant>
    </vt:vector>
  </HeadingPairs>
  <TitlesOfParts>
    <vt:vector size="1" baseType="lpstr">
      <vt:lpstr/>
    </vt:vector>
  </TitlesOfParts>
  <Company/>
  <LinksUpToDate>false</LinksUpToDate>
  <CharactersWithSpaces>13448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 V</dc:creator>
  <cp:lastModifiedBy>Юлиан Живков Якимов</cp:lastModifiedBy>
  <cp:revision>3</cp:revision>
  <dcterms:created xsi:type="dcterms:W3CDTF">2018-02-28T08:20:00Z</dcterms:created>
  <dcterms:modified xsi:type="dcterms:W3CDTF">2018-02-28T14:23:00Z</dcterms:modified>
</cp:coreProperties>
</file>