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766137" w:rsidRPr="00766137" w:rsidRDefault="00766137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766137" w:rsidRPr="00766137" w:rsidRDefault="00766137" w:rsidP="00766137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>.2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</w:rPr>
        <w:t>ПРИ ЛИЦА ПОД 18 ГОДИНИ</w:t>
      </w:r>
    </w:p>
    <w:p w:rsidR="00766137" w:rsidRPr="00766137" w:rsidRDefault="00766137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  <w:r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DC227A" w:rsidP="001F0395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675C44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хиперимуноглобулин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B1FF5" w:rsidRPr="00DC227A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EB1FF5" w:rsidRPr="00DC227A" w:rsidTr="00675C44">
        <w:trPr>
          <w:jc w:val="center"/>
        </w:trPr>
        <w:tc>
          <w:tcPr>
            <w:tcW w:w="9426" w:type="dxa"/>
          </w:tcPr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val="ru-RU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  <w:t>**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87.44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 Рентгеново изследване на гръден кош</w:t>
            </w:r>
          </w:p>
          <w:p w:rsidR="00EB1FF5" w:rsidRPr="00DC227A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Друга рентгенография на гръден кош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Включва: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бронх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color w:val="222122"/>
                <w:sz w:val="20"/>
                <w:szCs w:val="20"/>
              </w:rPr>
              <w:t>Не включва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такава на: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ребра (58521-01, 58524-00 [1972])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14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trike/>
                <w:sz w:val="16"/>
                <w:szCs w:val="16"/>
                <w:lang w:val="en-US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 88.01 КАТ на корем</w:t>
            </w: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КАТ скениране на корем</w:t>
            </w:r>
          </w:p>
          <w:p w:rsidR="00EB1FF5" w:rsidRPr="00DC227A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**88.38 друга КАТ </w:t>
            </w:r>
          </w:p>
          <w:p w:rsidR="00EB1FF5" w:rsidRPr="00DC227A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Компютърна томография на гръден кош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гръден кош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  <w:t xml:space="preserve">Диагностичен ултразвук (Ехография) 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**88.74 диагностичен ултразвук на храносмилателна система</w:t>
            </w:r>
          </w:p>
          <w:p w:rsidR="00EB1FF5" w:rsidRPr="00DC227A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**90.59 ИЗСЛЕДВАНЕ НА КРЪВ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Хематологични изследвания: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Пълна кръвна картина /СУЕ, хемоглобин, хематокрит, тромбоцити, левкоцити, ДКК,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при нужда хемостазни показатели /РТ,аРТТ, INR, фибриноген/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Биохимични изследвания – кр. захар, креатинин, урея,  пикочна киселина, ASAT, ALAT,АФ,ГГТ,общ и директен билирубин, йонограма, общ белтък и други ( по преценка)</w:t>
            </w:r>
          </w:p>
          <w:p w:rsidR="00EB1FF5" w:rsidRPr="002E29B1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тромбопластиново време (APTT)   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B1FF5" w:rsidRPr="002E29B1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color w:val="FF0000"/>
                <w:sz w:val="16"/>
                <w:szCs w:val="16"/>
              </w:rPr>
            </w:pPr>
          </w:p>
          <w:p w:rsidR="00EB1FF5" w:rsidRPr="002E29B1" w:rsidRDefault="00EB1FF5" w:rsidP="00675C4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</w:rPr>
            </w:pPr>
          </w:p>
          <w:p w:rsidR="00EB1FF5" w:rsidRPr="002E29B1" w:rsidRDefault="00EB1FF5" w:rsidP="00675C4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  <w:highlight w:val="yellow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**90.98 ИЗСЛЕДВАНЕ НА КРЪВ - Имунологични изследвания</w:t>
            </w:r>
          </w:p>
          <w:p w:rsidR="00EB1FF5" w:rsidRPr="002E29B1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sz w:val="20"/>
                <w:szCs w:val="20"/>
              </w:rPr>
              <w:t>Подгрупа 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: изследване на хуморален имунитет  IgG и/или A, и/или М, и/или E, и/или I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gG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>субкласове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>криоглобулини</w:t>
            </w:r>
            <w:proofErr w:type="spellEnd"/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криоглобулин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IgM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IgG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IgА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IgE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91905-04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хуморален имунитет Ig G и/или A, и/или М, и/или E, и/ или Ig субкласове и/или криоглобулини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2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комплемент – С3 ,С4, 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С1 инхибитор (функционален и/или антигенен), и/или C1q и/или CH50.  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С3 компонент на комплемента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С4 компонент на комплемента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С1 компонент на комплемента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C1q компонент на комплемента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CH50 компонент на комплемента</w:t>
            </w: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3: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+  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други специфични клетъчно– повърхностни лимфоцитни маркери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CD3+8+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CD3+4+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CD19+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CD3-16+56+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други специфични клетъчно – повърхностни лимфоцитни маркери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4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фагоцитната активност и/или на респираторния взрив на неутрофилите и моноцитите. 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Флоуцитометрично определяне на фагоцитозата</w:t>
            </w:r>
          </w:p>
          <w:p w:rsidR="00EB1FF5" w:rsidRPr="002E29B1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оксидативния взрив на периферни неутрофили и моноцити с Нитроблaу тетразолов тест</w:t>
            </w: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2E29B1" w:rsidRDefault="00EB1FF5" w:rsidP="00675C44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  <w:lang w:eastAsia="bg-BG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**90.33 МИКРОБИОЛОГИЧНИ ИЗСЛЕДВАНИЯ - ХЕМОКУЛТУРА, И/ИЛИ КОПРОКУЛТУРА, И/ИЛИ НОСЕН И/ИЛИ ГЪРЛЕН СЕКРЕТ, И/ИЛИ ХРАЧКА И/ИЛИ ПОСЯВКА НА БРОНХОАЛВЕОЛАРЕН ЛАВАЖ</w:t>
            </w:r>
          </w:p>
          <w:p w:rsidR="00EB1FF5" w:rsidRPr="002E29B1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91929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бактериална намазка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</w:t>
            </w:r>
          </w:p>
          <w:p w:rsidR="00EB1FF5" w:rsidRPr="002E29B1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*99.04 трансфузия на еритроцитна маса</w:t>
            </w:r>
          </w:p>
          <w:p w:rsidR="00EB1FF5" w:rsidRPr="00DC227A" w:rsidRDefault="00EB1FF5" w:rsidP="00675C4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99.05 Трансфузия на тромбоцити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99.07 Трансфузия на друг серум 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серум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*99.09 Трансфузия на друга субстанция - кръвен заместител, гранулоцити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  *99.14 инфузия/инжекция  на нормален човешки имуноглобулин</w:t>
            </w: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13706-05   Приложение на гама глобулин</w:t>
            </w:r>
          </w:p>
          <w:p w:rsidR="00EB1FF5" w:rsidRPr="00DC227A" w:rsidRDefault="00EB1FF5" w:rsidP="00675C44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675C4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EB1FF5" w:rsidRPr="00DC227A" w:rsidRDefault="00EB1FF5" w:rsidP="00675C44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Приложение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фармакотерапия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EB1FF5" w:rsidRPr="00DC227A" w:rsidRDefault="00EB1FF5" w:rsidP="00675C4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</w:p>
          <w:p w:rsidR="00EB1FF5" w:rsidRPr="00DC227A" w:rsidRDefault="00EB1FF5" w:rsidP="00675C4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EB1FF5" w:rsidRPr="00DC227A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 приложение на фармакологичен агент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675C4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EB1FF5" w:rsidRPr="00DC227A" w:rsidRDefault="00EB1FF5" w:rsidP="00675C4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EB1FF5" w:rsidRPr="00DC227A" w:rsidRDefault="00EB1FF5" w:rsidP="00675C4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99.23 инжекция на стероид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      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44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*99.28  инжекция или инфузия на биологичен модулатор на отговора 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99.29  инфузия на ДРУГО ЛЕЧЕБНО ВЕЩЕСТВО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   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99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*99.99 ПЕРОРАЛНИ ИМУНОМОДУЛАТОРИ И/ИЛИ АНТИИНФЕКЦИОЗНИ ЛЕКАРСТВЕНИ СРЕДСТВА</w:t>
            </w:r>
          </w:p>
          <w:p w:rsidR="00EB1FF5" w:rsidRPr="00DC227A" w:rsidRDefault="00EB1FF5" w:rsidP="00675C44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96203-02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Перорално прилагане на фармакологичен агент, друг и неспецифичен фармакологичен агент</w:t>
            </w:r>
          </w:p>
          <w:p w:rsidR="00EB1FF5" w:rsidRPr="00DC227A" w:rsidRDefault="00EB1FF5" w:rsidP="00675C44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5E4A68" w:rsidRDefault="005E4A68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:rsidR="00EB1FF5" w:rsidRPr="002E29B1" w:rsidRDefault="00EB1FF5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FF0000"/>
          <w:szCs w:val="20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 </w:t>
      </w:r>
      <w:r w:rsidRPr="002E29B1">
        <w:rPr>
          <w:rFonts w:ascii="Arial" w:eastAsia="Times New Roman" w:hAnsi="Arial" w:cs="Times New Roman"/>
          <w:color w:val="000000"/>
          <w:szCs w:val="24"/>
          <w:highlight w:val="yellow"/>
          <w:lang w:val="x-none"/>
        </w:rPr>
        <w:t>**9</w:t>
      </w:r>
      <w:r w:rsidRPr="002E29B1">
        <w:rPr>
          <w:rFonts w:ascii="Arial" w:eastAsia="Times New Roman" w:hAnsi="Arial" w:cs="Times New Roman"/>
          <w:color w:val="000000"/>
          <w:szCs w:val="24"/>
          <w:highlight w:val="yellow"/>
          <w:lang w:val="en-US"/>
        </w:rPr>
        <w:t>0</w:t>
      </w:r>
      <w:r w:rsidRPr="002E29B1">
        <w:rPr>
          <w:rFonts w:ascii="Arial" w:eastAsia="Times New Roman" w:hAnsi="Arial" w:cs="Times New Roman"/>
          <w:color w:val="000000"/>
          <w:szCs w:val="24"/>
          <w:highlight w:val="yellow"/>
          <w:lang w:val="x-none"/>
        </w:rPr>
        <w:t>.98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Pr="002E29B1">
        <w:rPr>
          <w:rFonts w:ascii="Arial" w:eastAsia="Times New Roman" w:hAnsi="Arial" w:cs="Times New Roman"/>
          <w:b/>
          <w:color w:val="000000"/>
          <w:szCs w:val="24"/>
        </w:rPr>
        <w:t>(кодовете</w:t>
      </w:r>
      <w:r w:rsidRPr="002E29B1">
        <w:rPr>
          <w:rFonts w:ascii="Arial" w:eastAsia="Times New Roman" w:hAnsi="Arial" w:cs="Times New Roman"/>
          <w:color w:val="000000"/>
          <w:szCs w:val="24"/>
        </w:rPr>
        <w:t>, посочени в една от подгрупите на блок „Имунологични изследвания“)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и две основни терапевтични процедури, посочени в блок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Кодове на основни процедури по</w:t>
      </w:r>
      <w:r w:rsidRPr="002E29B1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 </w:t>
      </w:r>
      <w:r w:rsidRPr="002E29B1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2E29B1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  <w:r w:rsidRPr="002E29B1">
        <w:rPr>
          <w:rFonts w:ascii="Arial" w:eastAsia="Times New Roman" w:hAnsi="Arial" w:cs="Times New Roman"/>
          <w:b/>
          <w:bCs/>
          <w:noProof/>
          <w:szCs w:val="20"/>
        </w:rPr>
        <w:t>.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1: Може да бъде отчетена с един от посочените кодове в групата;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2: Може да бъде отчетена с кодове 91923-04 и 91923-05 и/или 91940-00 и/или 91940-01 и 91940-02;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3: Може да бъде отчетена с кодове: 91940-03, 91940-04, 91940-05, 91940-06, 91940-07 и/или с код 91940-08;</w:t>
      </w:r>
    </w:p>
    <w:p w:rsidR="00EB1FF5" w:rsidRPr="002E29B1" w:rsidRDefault="00EB1FF5" w:rsidP="00EB1FF5">
      <w:pPr>
        <w:keepNext/>
        <w:keepLines/>
        <w:spacing w:after="0" w:line="240" w:lineRule="auto"/>
        <w:ind w:left="1204" w:hanging="637"/>
        <w:rPr>
          <w:rFonts w:ascii="Arial" w:eastAsia="Times New Roman" w:hAnsi="Arial" w:cs="Times New Roman"/>
          <w:szCs w:val="24"/>
          <w:lang w:val="x-none"/>
        </w:rPr>
      </w:pPr>
      <w:r w:rsidRPr="002E29B1">
        <w:rPr>
          <w:rFonts w:ascii="Arial" w:eastAsia="Times New Roman" w:hAnsi="Arial" w:cs="Times New Roman"/>
          <w:szCs w:val="24"/>
          <w:lang w:val="x-none"/>
        </w:rPr>
        <w:t xml:space="preserve">Подгрупа 4: Може да бъде отчетена с код </w:t>
      </w:r>
      <w:r w:rsidRPr="002E29B1">
        <w:rPr>
          <w:rFonts w:ascii="Arial" w:eastAsia="Times New Roman" w:hAnsi="Arial" w:cs="Times New Roman"/>
          <w:szCs w:val="24"/>
        </w:rPr>
        <w:t>91924-03 и/или 91924-04.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Когато се използват кодовете от блок 1923 и 1924, се извършват и кодират показателите от двата блока, включващи: ПКК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,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СУЕ, ДКК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-  задължително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; при нужда хемостазни показатели (РТ,аРТТ, INR, фибриноген) и/или Биохимични изследвания – кр</w:t>
      </w:r>
      <w:r w:rsidRPr="002E29B1">
        <w:rPr>
          <w:rFonts w:ascii="Arial" w:eastAsia="Times New Roman" w:hAnsi="Arial" w:cs="Arial"/>
          <w:color w:val="000000"/>
          <w:szCs w:val="20"/>
        </w:rPr>
        <w:t>ъвна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захар, креатинин, урея, пикочна киселина, ASAT, ALAT,АФ,ГГТ,общ и директен билирубин, йонограма, общ белтък и други ( по преценка)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 се считат за една основна диагностична процедура за завършване и отчитане на тази</w:t>
      </w:r>
      <w:r w:rsidRPr="002E29B1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КП.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DC227A">
        <w:rPr>
          <w:rFonts w:ascii="Arial" w:eastAsia="Times New Roman" w:hAnsi="Arial" w:cs="Times New Roman"/>
          <w:szCs w:val="20"/>
          <w:lang w:val="x-none"/>
        </w:rPr>
        <w:t xml:space="preserve">Рентгеновите филми или друг носител при образни изследвания се прикрепват към ИЗ.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Документът с резултатите от проведени образни изследвания съдържа задължително: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трите имена и възрастта на пациента;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датата на изследването;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вида на изследването;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 xml:space="preserve">- получените резултати от изследването и неговото тълкуване;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подпис на лекаря, извършил изследването.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Фишът се прикрепва към ИЗ.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5E4A68" w:rsidRPr="005E4A68" w:rsidRDefault="005E4A68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  <w:lang w:val="x-none"/>
        </w:rPr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0F1B2E" w:rsidRDefault="005E4A68" w:rsidP="005E4A68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5E4A68">
        <w:rPr>
          <w:rFonts w:ascii="Arial" w:eastAsia="Times New Roman" w:hAnsi="Arial" w:cs="Arial"/>
          <w:b/>
          <w:noProof/>
          <w:lang w:val="ru-RU"/>
        </w:rPr>
        <w:t>Клиничната пътека включва дейности и услуги от обхвата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5E4A68">
        <w:rPr>
          <w:rFonts w:ascii="Arial" w:eastAsia="Times New Roman" w:hAnsi="Arial" w:cs="Arial"/>
          <w:b/>
          <w:noProof/>
          <w:lang w:val="ru-RU"/>
        </w:rPr>
        <w:t>медицинската специалност "Клинична имунология", осъществявана на трето ниво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5E4A68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 стандарт "Клинична имунология",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5E4A68">
        <w:rPr>
          <w:rFonts w:ascii="Arial" w:eastAsia="Times New Roman" w:hAnsi="Arial" w:cs="Arial"/>
          <w:b/>
          <w:noProof/>
          <w:lang w:val="ru-RU"/>
        </w:rPr>
        <w:t>медицинската специалност "Педиатрия", осъществявана на трето ниво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5E4A68">
        <w:rPr>
          <w:rFonts w:ascii="Arial" w:eastAsia="Times New Roman" w:hAnsi="Arial" w:cs="Arial"/>
          <w:b/>
          <w:noProof/>
          <w:lang w:val="ru-RU"/>
        </w:rPr>
        <w:t>компетентност, съгласно медицински стандарт "Педиатрия".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</w:rPr>
      </w:pPr>
    </w:p>
    <w:p w:rsidR="005E4A68" w:rsidRPr="005E4A68" w:rsidRDefault="005E4A68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t>1</w:t>
      </w:r>
      <w:r w:rsidRPr="00DC227A">
        <w:rPr>
          <w:rFonts w:ascii="Arial" w:eastAsia="Times New Roman" w:hAnsi="Arial" w:cs="Times New Roman"/>
          <w:b/>
          <w:noProof/>
          <w:lang w:val="x-none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675C44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lastRenderedPageBreak/>
              <w:t>Задължително звено/медицинска апаратура</w:t>
            </w:r>
          </w:p>
        </w:tc>
      </w:tr>
      <w:tr w:rsidR="00DC227A" w:rsidRPr="00DC227A" w:rsidTr="005E4A68">
        <w:trPr>
          <w:trHeight w:val="274"/>
          <w:jc w:val="center"/>
        </w:trPr>
        <w:tc>
          <w:tcPr>
            <w:tcW w:w="9221" w:type="dxa"/>
            <w:vAlign w:val="center"/>
          </w:tcPr>
          <w:p w:rsidR="00DC227A" w:rsidRPr="005E4A68" w:rsidRDefault="00DC227A" w:rsidP="005E4A68">
            <w:pPr>
              <w:pStyle w:val="ListParagraph"/>
              <w:keepNext/>
              <w:keepLines/>
              <w:numPr>
                <w:ilvl w:val="0"/>
                <w:numId w:val="29"/>
              </w:numPr>
              <w:jc w:val="both"/>
              <w:rPr>
                <w:rFonts w:ascii="Arial" w:hAnsi="Arial"/>
                <w:sz w:val="20"/>
                <w:szCs w:val="20"/>
              </w:rPr>
            </w:pPr>
            <w:proofErr w:type="spellStart"/>
            <w:r w:rsidRPr="005E4A68">
              <w:rPr>
                <w:rFonts w:ascii="Arial" w:hAnsi="Arial"/>
                <w:sz w:val="20"/>
                <w:szCs w:val="20"/>
              </w:rPr>
              <w:t>Клиника</w:t>
            </w:r>
            <w:proofErr w:type="spellEnd"/>
            <w:r w:rsidRPr="005E4A68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5E4A68"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 w:rsidRPr="005E4A68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5E4A68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5E4A68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5E4A68">
              <w:rPr>
                <w:rFonts w:ascii="Arial" w:hAnsi="Arial"/>
                <w:sz w:val="20"/>
                <w:szCs w:val="20"/>
              </w:rPr>
              <w:t>педиатрия</w:t>
            </w:r>
            <w:proofErr w:type="spellEnd"/>
            <w:r w:rsidRPr="005E4A68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5E4A68" w:rsidRDefault="005E4A68" w:rsidP="005E4A68">
            <w:pPr>
              <w:keepNext/>
              <w:keepLines/>
              <w:spacing w:after="0" w:line="240" w:lineRule="auto"/>
              <w:ind w:left="3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или</w:t>
            </w:r>
          </w:p>
          <w:p w:rsidR="005E4A68" w:rsidRPr="005E4A68" w:rsidRDefault="005E4A68" w:rsidP="005E4A68">
            <w:pPr>
              <w:keepNext/>
              <w:keepLines/>
              <w:spacing w:after="0" w:line="240" w:lineRule="auto"/>
              <w:ind w:left="360"/>
              <w:jc w:val="both"/>
              <w:rPr>
                <w:rFonts w:ascii="Arial" w:hAnsi="Arial"/>
                <w:sz w:val="20"/>
                <w:szCs w:val="20"/>
              </w:rPr>
            </w:pPr>
            <w:r w:rsidRPr="005E4A68">
              <w:rPr>
                <w:rFonts w:ascii="Arial" w:hAnsi="Arial"/>
                <w:sz w:val="20"/>
                <w:szCs w:val="20"/>
              </w:rPr>
              <w:t>Клиника/отделение по клинична имунология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675C44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675C44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bCs/>
          <w:noProof/>
        </w:rPr>
        <w:t xml:space="preserve">2. </w:t>
      </w: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675C44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675C44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675C44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Pr="00DC227A" w:rsidRDefault="004A47B5" w:rsidP="004A47B5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3. </w:t>
      </w:r>
      <w:r w:rsidR="00DC227A" w:rsidRPr="00DC227A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</w:t>
      </w:r>
    </w:p>
    <w:p w:rsidR="004A47B5" w:rsidRPr="00DC227A" w:rsidRDefault="004A47B5" w:rsidP="004A47B5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</w:rPr>
        <w:t xml:space="preserve">- 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Arial"/>
          <w:b/>
          <w:noProof/>
        </w:rPr>
        <w:t>к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линика по </w:t>
      </w:r>
      <w:r w:rsidRPr="00DC227A">
        <w:rPr>
          <w:rFonts w:ascii="Arial" w:eastAsia="Times New Roman" w:hAnsi="Arial" w:cs="Arial"/>
          <w:b/>
          <w:noProof/>
        </w:rPr>
        <w:t>педиатрия</w:t>
      </w:r>
      <w:r w:rsidRPr="00DC227A">
        <w:rPr>
          <w:rFonts w:ascii="Arial" w:eastAsia="Times New Roman" w:hAnsi="Arial" w:cs="Arial"/>
          <w:b/>
          <w:noProof/>
          <w:lang w:val="x-none"/>
        </w:rPr>
        <w:t>:</w:t>
      </w:r>
    </w:p>
    <w:p w:rsidR="004A47B5" w:rsidRPr="00DC227A" w:rsidRDefault="004A47B5" w:rsidP="004A47B5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>-  четири</w:t>
      </w:r>
      <w:r w:rsidRPr="00DC227A">
        <w:rPr>
          <w:rFonts w:ascii="Arial" w:eastAsia="Times New Roman" w:hAnsi="Arial" w:cs="Arial"/>
        </w:rPr>
        <w:t>ма</w:t>
      </w:r>
      <w:r w:rsidRPr="00DC227A">
        <w:rPr>
          <w:rFonts w:ascii="Arial" w:eastAsia="Times New Roman" w:hAnsi="Arial" w:cs="Arial"/>
          <w:lang w:val="x-none"/>
        </w:rPr>
        <w:t xml:space="preserve"> лекари </w:t>
      </w:r>
      <w:r w:rsidRPr="00DC227A">
        <w:rPr>
          <w:rFonts w:ascii="Arial" w:eastAsia="Times New Roman" w:hAnsi="Arial" w:cs="Arial"/>
          <w:lang w:val="ru-RU"/>
        </w:rPr>
        <w:t xml:space="preserve"> със специалност </w:t>
      </w:r>
      <w:r w:rsidRPr="00DC227A">
        <w:rPr>
          <w:rFonts w:ascii="Arial" w:eastAsia="Times New Roman" w:hAnsi="Arial" w:cs="Arial"/>
        </w:rPr>
        <w:t>педиатрия.</w:t>
      </w:r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4A47B5" w:rsidRPr="00DC227A" w:rsidRDefault="004A47B5" w:rsidP="004A47B5">
      <w:pPr>
        <w:keepNext/>
        <w:keepLines/>
        <w:tabs>
          <w:tab w:val="left" w:pos="142"/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  <w:r w:rsidRPr="00DC227A">
        <w:rPr>
          <w:rFonts w:ascii="Arial" w:eastAsia="Times New Roman" w:hAnsi="Arial" w:cs="Arial"/>
          <w:b/>
          <w:noProof/>
          <w:lang w:eastAsia="x-none"/>
        </w:rPr>
        <w:t xml:space="preserve">- 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 xml:space="preserve">Необходими специалисти </w:t>
      </w:r>
      <w:r w:rsidRPr="00DC227A">
        <w:rPr>
          <w:rFonts w:ascii="Arial" w:eastAsia="Times New Roman" w:hAnsi="Arial" w:cs="Arial"/>
          <w:b/>
          <w:noProof/>
          <w:lang w:eastAsia="x-none"/>
        </w:rPr>
        <w:t xml:space="preserve">за лечение на пациентите 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 xml:space="preserve">в </w:t>
      </w:r>
      <w:r w:rsidRPr="00DC227A">
        <w:rPr>
          <w:rFonts w:ascii="Arial" w:eastAsia="Times New Roman" w:hAnsi="Arial" w:cs="Arial"/>
          <w:b/>
          <w:noProof/>
          <w:lang w:eastAsia="x-none"/>
        </w:rPr>
        <w:t>л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>аборатория/</w:t>
      </w:r>
      <w:r w:rsidRPr="00DC227A">
        <w:rPr>
          <w:rFonts w:ascii="Arial" w:eastAsia="Times New Roman" w:hAnsi="Arial" w:cs="Arial"/>
          <w:b/>
          <w:noProof/>
          <w:lang w:eastAsia="x-none"/>
        </w:rPr>
        <w:t>к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>линика/</w:t>
      </w:r>
      <w:r w:rsidRPr="00DC227A">
        <w:rPr>
          <w:rFonts w:ascii="Arial" w:eastAsia="Times New Roman" w:hAnsi="Arial" w:cs="Arial"/>
          <w:b/>
          <w:noProof/>
          <w:lang w:eastAsia="x-none"/>
        </w:rPr>
        <w:t xml:space="preserve"> о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>тделение по клинична имунология:</w:t>
      </w:r>
    </w:p>
    <w:p w:rsidR="004A47B5" w:rsidRDefault="004A47B5" w:rsidP="004A47B5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- </w:t>
      </w:r>
      <w:r w:rsidRPr="00DC227A">
        <w:rPr>
          <w:rFonts w:ascii="Arial" w:eastAsia="Times New Roman" w:hAnsi="Arial" w:cs="Arial"/>
          <w:lang w:val="x-none"/>
        </w:rPr>
        <w:t>двама лекари  със специалност по клинична имунология</w:t>
      </w:r>
      <w:r w:rsidRPr="00DC227A">
        <w:rPr>
          <w:rFonts w:ascii="Arial" w:eastAsia="Times New Roman" w:hAnsi="Arial" w:cs="Arial"/>
          <w:lang w:val="en-US"/>
        </w:rPr>
        <w:t>;</w:t>
      </w:r>
    </w:p>
    <w:p w:rsidR="003C339C" w:rsidRPr="003C339C" w:rsidRDefault="003C339C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eastAsia="Times New Roman" w:hAnsi="Arial" w:cs="Arial"/>
        </w:rPr>
      </w:pPr>
    </w:p>
    <w:p w:rsidR="00DC227A" w:rsidRPr="00DC227A" w:rsidRDefault="004A47B5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>
        <w:rPr>
          <w:rFonts w:ascii="Arial" w:eastAsia="Times New Roman" w:hAnsi="Arial" w:cs="Arial"/>
          <w:b/>
          <w:noProof/>
        </w:rPr>
        <w:t>3.1</w:t>
      </w:r>
      <w:r w:rsidR="000F1B2E">
        <w:rPr>
          <w:rFonts w:ascii="Arial" w:eastAsia="Times New Roman" w:hAnsi="Arial" w:cs="Arial"/>
          <w:b/>
          <w:noProof/>
        </w:rPr>
        <w:t xml:space="preserve">. </w:t>
      </w:r>
      <w:r w:rsidR="00DC227A" w:rsidRPr="00DC227A">
        <w:rPr>
          <w:rFonts w:ascii="Arial" w:eastAsia="Times New Roman" w:hAnsi="Arial" w:cs="Arial"/>
          <w:b/>
          <w:noProof/>
          <w:lang w:val="x-none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двама лекари  със специалност по клинична имунология</w:t>
      </w:r>
      <w:r w:rsidRPr="00DC227A">
        <w:rPr>
          <w:rFonts w:ascii="Arial" w:eastAsia="Times New Roman" w:hAnsi="Arial" w:cs="Arial"/>
        </w:rPr>
        <w:t>, ако КП не се изпълнява в клиника по клинична имунология;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en-US"/>
        </w:rPr>
      </w:pPr>
      <w:r w:rsidRPr="00DC227A">
        <w:rPr>
          <w:rFonts w:ascii="Arial" w:eastAsia="Times New Roman" w:hAnsi="Arial" w:cs="Arial"/>
        </w:rPr>
        <w:t xml:space="preserve">- </w:t>
      </w:r>
      <w:r w:rsidRPr="00DC227A">
        <w:rPr>
          <w:rFonts w:ascii="Arial" w:eastAsia="Times New Roman" w:hAnsi="Arial" w:cs="Arial"/>
          <w:lang w:val="x-none"/>
        </w:rPr>
        <w:t xml:space="preserve">лекар със специалност </w:t>
      </w:r>
      <w:r w:rsidRPr="00DC227A">
        <w:rPr>
          <w:rFonts w:ascii="Arial" w:eastAsia="Times New Roman" w:hAnsi="Arial" w:cs="Arial"/>
        </w:rPr>
        <w:t>педиатрия</w:t>
      </w:r>
      <w:r w:rsidR="005E4A68">
        <w:rPr>
          <w:rFonts w:ascii="Arial" w:eastAsia="Times New Roman" w:hAnsi="Arial" w:cs="Arial"/>
        </w:rPr>
        <w:t xml:space="preserve">, </w:t>
      </w:r>
      <w:r w:rsidR="005E4A68" w:rsidRPr="005E4A68">
        <w:rPr>
          <w:rFonts w:ascii="Arial" w:eastAsia="Times New Roman" w:hAnsi="Arial" w:cs="Arial"/>
        </w:rPr>
        <w:t>ако КП не се изпълнява в клиника по</w:t>
      </w:r>
      <w:r w:rsidR="005E4A68">
        <w:rPr>
          <w:rFonts w:ascii="Arial" w:eastAsia="Times New Roman" w:hAnsi="Arial" w:cs="Arial"/>
        </w:rPr>
        <w:t xml:space="preserve"> Педиатрия</w:t>
      </w:r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left="567" w:firstLine="28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лечение;</w:t>
      </w:r>
    </w:p>
    <w:p w:rsidR="00DC227A" w:rsidRPr="00DC227A" w:rsidRDefault="00DC227A" w:rsidP="00DC227A">
      <w:pPr>
        <w:keepNext/>
        <w:keepLines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ind w:hanging="76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ind w:hanging="76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x-none"/>
        </w:rPr>
      </w:pPr>
      <w:r w:rsidRPr="00DC227A">
        <w:rPr>
          <w:rFonts w:ascii="Arial" w:eastAsia="Times New Roman" w:hAnsi="Arial" w:cs="Arial"/>
          <w:b/>
          <w:noProof/>
          <w:u w:val="single"/>
          <w:lang w:val="x-none"/>
        </w:rPr>
        <w:t>ІІ. ИНДИКАЦИИ ЗА ХОСПИТАЛИЗАЦИЯ И ЛЕЧЕНИЕ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DC227A">
        <w:rPr>
          <w:rFonts w:ascii="Arial" w:eastAsia="Times New Roman" w:hAnsi="Arial" w:cs="Arial"/>
          <w:b/>
          <w:noProof/>
          <w:lang w:val="ru-RU"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ИНДИКАЦИИ ЗА ХОСПИТАЛИЗАЦИЯ 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ab/>
        <w:t>Прием и изготвяне на диагностично-лечебен план.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заместителна терапия с интравенозен гамаглобулин;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терапия с парентерални и орални имуномодулатори;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="00F807E5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терапия на възникнали усложнения, свързани с основното заболяване;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.заместителна терапия с концентриран С1-естеразен инхибитор, 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антимикробна или друга терапия на възникнали усложнения, свързани с основното заболяване.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2. ДИАГНОСТИЧНО - ЛЕЧЕБЕН АЛГОРИТЪМ.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lastRenderedPageBreak/>
        <w:tab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 xml:space="preserve">Времеви график на изследванията посочени в частта “Кодове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МКБ-9 КМ/АКМП</w:t>
      </w: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Изследване на хуморален и/или клетъчен имунитет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DC227A">
        <w:rPr>
          <w:rFonts w:ascii="Arial" w:eastAsia="Times New Roman" w:hAnsi="Arial" w:cs="Arial"/>
          <w:lang w:val="x-none"/>
        </w:rPr>
        <w:t>Клинико-лабораторни и/или образни изследвания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интравенозен човешки имуноглобулин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 т.т.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в два/три последователни дни на бавна интравенозна инфузия</w:t>
      </w:r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нормален човешки имуноглобулин за подкожен път на въвеждане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</w:t>
      </w:r>
      <w:r w:rsidRPr="00DC227A">
        <w:rPr>
          <w:rFonts w:ascii="Arial" w:eastAsia="Times New Roman" w:hAnsi="Arial" w:cs="Arial"/>
          <w:lang w:val="ru-RU"/>
        </w:rPr>
        <w:t xml:space="preserve"> т.т. </w:t>
      </w:r>
      <w:r w:rsidRPr="00DC227A">
        <w:rPr>
          <w:rFonts w:ascii="Arial" w:eastAsia="Times New Roman" w:hAnsi="Arial" w:cs="Arial"/>
          <w:lang w:val="x-none"/>
        </w:rPr>
        <w:t>като подкожна инфузия с помпа на няколко места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концентриран С1 естеразен инхибитор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/кг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(от 500 до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общо) </w:t>
      </w:r>
      <w:r w:rsidRPr="00DC227A">
        <w:rPr>
          <w:rFonts w:ascii="Arial" w:eastAsia="Times New Roman" w:hAnsi="Arial" w:cs="Arial"/>
          <w:color w:val="000000"/>
          <w:lang w:val="x-none"/>
        </w:rPr>
        <w:t>еднократно на бавна интравенозна инфузия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>антагонист на брадикинин-рецептор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глюкокортикостероиди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антибактериална терапия </w:t>
      </w:r>
      <w:r w:rsidRPr="00DC227A">
        <w:rPr>
          <w:rFonts w:ascii="Arial" w:eastAsia="Times New Roman" w:hAnsi="Arial" w:cs="Arial"/>
          <w:color w:val="000000"/>
          <w:lang w:val="x-none"/>
        </w:rPr>
        <w:t>– емпирична или съобразно изолирания бактерий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патогенетични и симптоматични средства: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при нужда вливания на глюкозо-солеви 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</w:rPr>
        <w:t xml:space="preserve">или </w:t>
      </w:r>
      <w:r w:rsidRPr="00DC227A">
        <w:rPr>
          <w:rFonts w:ascii="Arial" w:eastAsia="Times New Roman" w:hAnsi="Arial" w:cs="Arial"/>
          <w:lang w:val="x-none"/>
        </w:rPr>
        <w:t>други кръвни компоненти</w:t>
      </w:r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>атенюирани андрогени, анти-фибринолитици и др.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 терапия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 терапия</w:t>
      </w:r>
    </w:p>
    <w:p w:rsidR="00DC227A" w:rsidRPr="002120D1" w:rsidRDefault="00DC227A" w:rsidP="002120D1">
      <w:pPr>
        <w:keepNext/>
        <w:keepLines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noProof/>
          <w:lang w:val="en-US"/>
        </w:rPr>
      </w:pPr>
      <w:r w:rsidRPr="002120D1">
        <w:rPr>
          <w:rFonts w:ascii="Arial" w:eastAsia="Times New Roman" w:hAnsi="Arial" w:cs="Arial"/>
          <w:noProof/>
          <w:lang w:val="en-US"/>
        </w:rPr>
        <w:t>Здравни грижи.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ПРАВАТА НА ПАЦИЕНТА СЕ УПРАЖНЯВАТ ПРИ СПАЗВАНЕ НА ПРАВИЛНИКА ЗА УСТРО</w:t>
      </w:r>
      <w:r w:rsidRPr="00DC227A">
        <w:rPr>
          <w:rFonts w:ascii="Arial" w:eastAsia="Times New Roman" w:hAnsi="Arial" w:cs="Arial"/>
          <w:b/>
          <w:noProof/>
        </w:rPr>
        <w:t>Й</w:t>
      </w:r>
      <w:r w:rsidRPr="00DC227A">
        <w:rPr>
          <w:rFonts w:ascii="Arial" w:eastAsia="Times New Roman" w:hAnsi="Arial" w:cs="Arial"/>
          <w:b/>
          <w:noProof/>
          <w:lang w:val="x-none"/>
        </w:rPr>
        <w:t>СТВОТО, ДЕЙНОСТТА И ВЪТРЕШНИЯ РЕД НА ЛЕЧЕБНОТО ЗАВЕДЕНИЕ.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3. ПОСТАВЯНЕ НА ОКОНЧАТЕЛНА ДИАГНОЗА.</w:t>
      </w:r>
      <w:r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Пациентите се хоспитализират с уточнена диагноза, но при промяна в състоянието/диагнозата се ползва информацията от анамнестичните данни, клиничната картина, медико-диагностични изследвания извършени преди и/или след хоспитализацията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имунологичните, молекулярно-биологични, лабораторни, инструментални, образни и други</w:t>
      </w:r>
      <w:r w:rsidRPr="00DC227A">
        <w:rPr>
          <w:rFonts w:ascii="Arial" w:eastAsia="Times New Roman" w:hAnsi="Arial" w:cs="Arial"/>
        </w:rPr>
        <w:t xml:space="preserve">), </w:t>
      </w:r>
      <w:r w:rsidRPr="00DC227A">
        <w:rPr>
          <w:rFonts w:ascii="Arial" w:eastAsia="Times New Roman" w:hAnsi="Arial" w:cs="Arial"/>
          <w:lang w:val="x-none"/>
        </w:rPr>
        <w:t xml:space="preserve">съгласно международно приетите диагностични критерии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например на пан-американската група за имунодефицити (PAGID) и европейското дружество за имунодефицити (ESID) за първичните имунодефицити</w:t>
      </w:r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4. ДЕХОСПИТАЛИЗАЦИЯ И ОПРЕДЕЛЯНЕ НА СЛЕДБОЛНИЧЕН РЕЖИМ</w:t>
      </w:r>
      <w:r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snapToGrid w:val="0"/>
          <w:lang w:val="x-none"/>
        </w:rPr>
        <w:t>Довършване на лечебния процес и проследяване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При изписването се дава епикриза, включваща план за поведение и наблюдение от </w:t>
      </w:r>
      <w:r w:rsidR="00DB692C">
        <w:rPr>
          <w:rFonts w:ascii="Arial" w:eastAsia="Times New Roman" w:hAnsi="Arial" w:cs="Arial"/>
          <w:lang w:val="x-none"/>
        </w:rPr>
        <w:t>специалист</w:t>
      </w:r>
      <w:r w:rsidRPr="00DC227A">
        <w:rPr>
          <w:rFonts w:ascii="Arial" w:eastAsia="Times New Roman" w:hAnsi="Arial" w:cs="Arial"/>
          <w:lang w:val="x-none"/>
        </w:rPr>
        <w:t xml:space="preserve"> педиатър и общо практикуващ лекар, както и становище за провеждане на следващ терапевтичен курс, вписано в епикризата на пациента. </w:t>
      </w:r>
    </w:p>
    <w:p w:rsidR="00DB692C" w:rsidRPr="00DB692C" w:rsidRDefault="00DB692C" w:rsidP="00DB692C">
      <w:pPr>
        <w:keepNext/>
        <w:keepLines/>
        <w:spacing w:after="0" w:line="280" w:lineRule="atLeast"/>
        <w:ind w:firstLine="540"/>
        <w:jc w:val="both"/>
        <w:rPr>
          <w:rFonts w:ascii="Arial" w:eastAsia="Times New Roman" w:hAnsi="Arial" w:cs="Arial"/>
          <w:szCs w:val="20"/>
        </w:rPr>
      </w:pPr>
      <w:bookmarkStart w:id="0" w:name="_GoBack"/>
      <w:bookmarkEnd w:id="0"/>
      <w:r w:rsidRPr="00DB692C">
        <w:rPr>
          <w:rFonts w:ascii="Arial" w:eastAsia="Times New Roman" w:hAnsi="Arial" w:cs="Arial"/>
          <w:szCs w:val="20"/>
        </w:rPr>
        <w:t>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5. МЕДИЦИНСКА ЕКСПЕРТИЗА НА РАБОТОСПОСОБНОСТТА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 xml:space="preserve"> – извършва се съгласно Наредба за медицинската експертиза на работоспособността.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DC227A">
        <w:rPr>
          <w:rFonts w:ascii="Arial" w:eastAsia="Times New Roman" w:hAnsi="Arial" w:cs="Arial"/>
          <w:b/>
          <w:caps/>
          <w:noProof/>
          <w:lang w:val="ru-RU"/>
        </w:rPr>
        <w:t xml:space="preserve">ІІІ. </w:t>
      </w:r>
      <w:r w:rsidRPr="00DC227A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1.</w:t>
      </w:r>
      <w:r w:rsidRPr="00DC227A">
        <w:rPr>
          <w:rFonts w:ascii="Arial" w:eastAsia="Times New Roman" w:hAnsi="Arial" w:cs="Arial"/>
          <w:noProof/>
          <w:lang w:val="x-none"/>
        </w:rPr>
        <w:t xml:space="preserve"> </w:t>
      </w:r>
      <w:r w:rsidRPr="00DC227A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DC227A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DC227A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DC227A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DC227A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DC227A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DC227A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C227A">
        <w:rPr>
          <w:rFonts w:ascii="Arial" w:eastAsia="Times New Roman" w:hAnsi="Arial" w:cs="Arial"/>
          <w:b/>
          <w:noProof/>
        </w:rPr>
        <w:t>2.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DC227A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C227A">
        <w:rPr>
          <w:rFonts w:ascii="Arial" w:eastAsia="Times New Roman" w:hAnsi="Arial" w:cs="Arial"/>
          <w:noProof/>
        </w:rPr>
        <w:t xml:space="preserve"> – в</w:t>
      </w:r>
      <w:r w:rsidRPr="00DC227A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DC227A">
        <w:rPr>
          <w:rFonts w:ascii="Arial" w:eastAsia="Times New Roman" w:hAnsi="Arial" w:cs="Arial"/>
          <w:noProof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DC227A">
        <w:rPr>
          <w:rFonts w:ascii="Arial" w:eastAsia="Times New Roman" w:hAnsi="Arial" w:cs="Arial"/>
          <w:i/>
        </w:rPr>
        <w:t>-</w:t>
      </w:r>
      <w:r w:rsidRPr="00DC227A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</w:rPr>
        <w:tab/>
        <w:t xml:space="preserve">част ІІІ на </w:t>
      </w:r>
      <w:r w:rsidRPr="00DC227A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DC227A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DC227A">
        <w:rPr>
          <w:rFonts w:ascii="Arial" w:eastAsia="Times New Roman" w:hAnsi="Arial" w:cs="Arial"/>
          <w:i/>
          <w:noProof/>
        </w:rPr>
        <w:t>- бл.МЗ-НЗОК №7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C227A">
        <w:rPr>
          <w:rFonts w:ascii="Arial" w:eastAsia="Times New Roman" w:hAnsi="Arial" w:cs="Arial"/>
          <w:b/>
          <w:lang w:val="ru-RU"/>
        </w:rPr>
        <w:t>4</w:t>
      </w:r>
      <w:r w:rsidRPr="00DC227A">
        <w:rPr>
          <w:rFonts w:ascii="Arial" w:eastAsia="Times New Roman" w:hAnsi="Arial" w:cs="Arial"/>
          <w:b/>
        </w:rPr>
        <w:t>.</w:t>
      </w:r>
      <w:r w:rsidRPr="00DC227A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DC227A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DC227A">
        <w:rPr>
          <w:rFonts w:ascii="Arial" w:eastAsia="Times New Roman" w:hAnsi="Arial" w:cs="Arial"/>
        </w:rPr>
        <w:t>/попечителя</w:t>
      </w:r>
      <w:r w:rsidRPr="00DC227A">
        <w:rPr>
          <w:rFonts w:ascii="Arial" w:eastAsia="Times New Roman" w:hAnsi="Arial" w:cs="Arial"/>
          <w:noProof/>
        </w:rPr>
        <w:t xml:space="preserve">) и е неразделна част от </w:t>
      </w:r>
      <w:r w:rsidRPr="00DC227A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2919A9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имуноглобулини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имунодефицит с преобладаващ недостиг на антитела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Преди първа инфузия да се изследват серумни имуноглобулини поради риск от анафилактична реакция при пациенти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Алергии към гамаглобулин за интравенозно приложениеи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Селективен ИгА-дефицит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Главоболие, миалгия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Артериална хипертония, хипергликемия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675C4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гамаглобулин за интравенозно приложение се прилага в доза от 0,2-0,6г/кг в продължение на 3 последователни дни на бавна интравенозна инфузия.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>разчетено лечение с  гамаглобулин</w:t>
      </w:r>
      <w:r w:rsidR="00340378">
        <w:rPr>
          <w:rFonts w:ascii="Arial" w:eastAsia="Times New Roman" w:hAnsi="Arial" w:cs="Arial"/>
          <w:szCs w:val="20"/>
        </w:rPr>
        <w:t xml:space="preserve"> </w:t>
      </w:r>
      <w:r w:rsidRPr="00DC227A">
        <w:rPr>
          <w:rFonts w:ascii="Arial" w:eastAsia="Times New Roman" w:hAnsi="Arial" w:cs="Arial"/>
          <w:szCs w:val="20"/>
        </w:rPr>
        <w:t xml:space="preserve">(субкутант) за интравенозно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заместителна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гамаглобулин за интравенозно приложение, така и на скоростта на инфузия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lastRenderedPageBreak/>
        <w:t xml:space="preserve">Гамаглобулините за интравенозно приложение водят до покачване на вискозитета и до повишен плазмен обем. Това може да доведе при пациенти със сърдечна недостатъчност до декомпенсация, или може да провокира развитие на мозъчна исхемия. Затова при болни с риск за съдови инциденти и при такива с криоглобулинемия е целесъобразно проследяване на хематокрит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Фишът за лечение с човешки гамаглобулин за интравенозно приложение става неразделна част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Върху флакона се записва името на пациента и № на ИЗ, а в ИЗ серийният номер на флакона (ите).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1315"/>
        <w:gridCol w:w="1481"/>
        <w:gridCol w:w="870"/>
        <w:gridCol w:w="1486"/>
        <w:gridCol w:w="1403"/>
        <w:gridCol w:w="1222"/>
        <w:gridCol w:w="1276"/>
      </w:tblGrid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7BC58D" wp14:editId="605667F2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lastRenderedPageBreak/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Комплементни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ангиоедем с недостиг или функционално неактивен С1 естеразен инхибитор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675C44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675C44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40378">
              <w:rPr>
                <w:rFonts w:ascii="Arial" w:eastAsia="Times New Roman" w:hAnsi="Arial" w:cs="Arial"/>
                <w:color w:val="000000"/>
              </w:rPr>
              <w:t xml:space="preserve">С1 естеразният инхибитор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интравенозно в доза 20 </w:t>
            </w:r>
            <w:r w:rsidRPr="00340378">
              <w:rPr>
                <w:rFonts w:ascii="Arial" w:eastAsia="Times New Roman" w:hAnsi="Arial" w:cs="Arial"/>
                <w:color w:val="000000"/>
              </w:rPr>
              <w:t>U/kg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бардикининовия рецептор се прилага в доза </w:t>
            </w:r>
            <w:r w:rsidRPr="00340378">
              <w:rPr>
                <w:rFonts w:ascii="Arial" w:eastAsia="Times New Roman" w:hAnsi="Arial" w:cs="Arial"/>
                <w:color w:val="000000"/>
              </w:rPr>
              <w:t>30 mg еднократно подкожно, за предпочитане в коремната стена. Следващата инжекция може да се постави след шест часа, но не повече от три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675C44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675C4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Контраиндикации </w:t>
            </w:r>
          </w:p>
        </w:tc>
      </w:tr>
      <w:tr w:rsidR="00DC227A" w:rsidRPr="00DC227A" w:rsidTr="00675C4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675C4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675C4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675C4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2919A9" w:rsidRDefault="002919A9"/>
    <w:p w:rsidR="002919A9" w:rsidRDefault="002919A9">
      <w:r>
        <w:br w:type="page"/>
      </w:r>
    </w:p>
    <w:p w:rsidR="002919A9" w:rsidRPr="00DC227A" w:rsidRDefault="002919A9" w:rsidP="002919A9">
      <w:pPr>
        <w:keepNext/>
        <w:keepLines/>
        <w:tabs>
          <w:tab w:val="left" w:pos="6521"/>
          <w:tab w:val="left" w:pos="7088"/>
        </w:tabs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</w:t>
      </w:r>
      <w:r>
        <w:rPr>
          <w:rFonts w:ascii="Arial" w:eastAsia="Times New Roman" w:hAnsi="Arial" w:cs="Arial"/>
          <w:lang w:val="x-none" w:eastAsia="x-none"/>
        </w:rPr>
        <w:t xml:space="preserve">                            </w:t>
      </w:r>
      <w:r w:rsidRPr="00DC227A">
        <w:rPr>
          <w:rFonts w:ascii="Arial" w:eastAsia="Times New Roman" w:hAnsi="Arial" w:cs="Arial"/>
          <w:lang w:val="x-none" w:eastAsia="x-none"/>
        </w:rPr>
        <w:t xml:space="preserve">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2919A9" w:rsidRPr="00DC227A" w:rsidRDefault="002919A9" w:rsidP="002919A9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(родителя/настойника)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Специализирани имунологични изследвания с оглед етиологично уточняване, стадиране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r w:rsidRPr="00DC227A">
        <w:rPr>
          <w:rFonts w:ascii="Arial" w:eastAsia="Times New Roman" w:hAnsi="Arial" w:cs="Arial"/>
          <w:lang w:val="x-none"/>
        </w:rPr>
        <w:t>заместителна терапия с интравенозен гамаглобулин и/или терапия с парентерални и орални имуномодулатори.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Интравенозен човешки имуноглобулин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Човешки имуноглобулин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Концентриран С1 естеразен инхибитор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Профилактика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Антибиотична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Трансплантация на хемопоетични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глюкокортикостероиди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други терапевтични средства с имуностимулиращ ефект – интерферон-гама, </w:t>
      </w:r>
      <w:r w:rsidRPr="00DC227A">
        <w:rPr>
          <w:rFonts w:ascii="Arial" w:eastAsia="Times New Roman" w:hAnsi="Arial" w:cs="Arial"/>
          <w:lang w:val="x-none"/>
        </w:rPr>
        <w:tab/>
        <w:t>колонистимулиращ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антибактериална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патогенетични и симптоматични средства: при нужда вливания на глюкозо-солеви </w:t>
      </w:r>
      <w:r w:rsidRPr="00DC227A">
        <w:rPr>
          <w:rFonts w:ascii="Arial" w:eastAsia="Times New Roman" w:hAnsi="Arial" w:cs="Arial"/>
          <w:lang w:val="x-none"/>
        </w:rPr>
        <w:tab/>
        <w:t xml:space="preserve">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  <w:lang w:val="x-none"/>
        </w:rPr>
        <w:tab/>
        <w:t>атенюирани андрогени, антифибринолитици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противогъбична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противовирусна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B4F3BD1"/>
    <w:multiLevelType w:val="hybridMultilevel"/>
    <w:tmpl w:val="9B126A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3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5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1"/>
  </w:num>
  <w:num w:numId="10">
    <w:abstractNumId w:val="26"/>
  </w:num>
  <w:num w:numId="11">
    <w:abstractNumId w:val="7"/>
  </w:num>
  <w:num w:numId="12">
    <w:abstractNumId w:val="27"/>
  </w:num>
  <w:num w:numId="13">
    <w:abstractNumId w:val="25"/>
  </w:num>
  <w:num w:numId="14">
    <w:abstractNumId w:val="22"/>
  </w:num>
  <w:num w:numId="15">
    <w:abstractNumId w:val="3"/>
  </w:num>
  <w:num w:numId="16">
    <w:abstractNumId w:val="0"/>
  </w:num>
  <w:num w:numId="17">
    <w:abstractNumId w:val="13"/>
  </w:num>
  <w:num w:numId="18">
    <w:abstractNumId w:val="23"/>
  </w:num>
  <w:num w:numId="19">
    <w:abstractNumId w:val="11"/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361C2"/>
    <w:rsid w:val="0007679D"/>
    <w:rsid w:val="000F1B2E"/>
    <w:rsid w:val="001A0777"/>
    <w:rsid w:val="001A7ED9"/>
    <w:rsid w:val="001F0395"/>
    <w:rsid w:val="002120D1"/>
    <w:rsid w:val="002919A9"/>
    <w:rsid w:val="002B6F28"/>
    <w:rsid w:val="002C1957"/>
    <w:rsid w:val="003321CD"/>
    <w:rsid w:val="00340378"/>
    <w:rsid w:val="0036115B"/>
    <w:rsid w:val="003C339C"/>
    <w:rsid w:val="004A47B5"/>
    <w:rsid w:val="004E634E"/>
    <w:rsid w:val="00526340"/>
    <w:rsid w:val="005E4A68"/>
    <w:rsid w:val="00660044"/>
    <w:rsid w:val="00675C44"/>
    <w:rsid w:val="0070136B"/>
    <w:rsid w:val="00766137"/>
    <w:rsid w:val="00922388"/>
    <w:rsid w:val="00940DEF"/>
    <w:rsid w:val="009D3CED"/>
    <w:rsid w:val="00A6025A"/>
    <w:rsid w:val="00AB1AB8"/>
    <w:rsid w:val="00CC2567"/>
    <w:rsid w:val="00DB692C"/>
    <w:rsid w:val="00DC227A"/>
    <w:rsid w:val="00EB1FF5"/>
    <w:rsid w:val="00F030C7"/>
    <w:rsid w:val="00F807E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4961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Красимир Симеонов</cp:lastModifiedBy>
  <cp:revision>10</cp:revision>
  <cp:lastPrinted>2019-05-20T07:02:00Z</cp:lastPrinted>
  <dcterms:created xsi:type="dcterms:W3CDTF">2019-05-17T08:44:00Z</dcterms:created>
  <dcterms:modified xsi:type="dcterms:W3CDTF">2019-05-21T11:27:00Z</dcterms:modified>
</cp:coreProperties>
</file>