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</w:p>
    <w:p w:rsidR="00EF362B" w:rsidRDefault="00EF362B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EF362B" w:rsidRPr="00EF362B" w:rsidRDefault="00EF362B" w:rsidP="00EF362B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>.1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 xml:space="preserve"> </w:t>
      </w:r>
      <w:r>
        <w:rPr>
          <w:rFonts w:ascii="Arial" w:eastAsia="Times New Roman" w:hAnsi="Arial" w:cs="Times New Roman"/>
          <w:b/>
          <w:bCs/>
          <w:sz w:val="28"/>
          <w:szCs w:val="20"/>
        </w:rPr>
        <w:t>ПРИ ЛИЦА НАД 18 ГОДИНИ</w:t>
      </w:r>
    </w:p>
    <w:p w:rsidR="00EF362B" w:rsidRPr="00EF362B" w:rsidRDefault="00EF362B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0"/>
        </w:rPr>
      </w:pPr>
      <w:r w:rsidRPr="00DC227A">
        <w:rPr>
          <w:rFonts w:ascii="Arial" w:eastAsia="Times New Roman" w:hAnsi="Arial" w:cs="Times New Roman"/>
          <w:sz w:val="28"/>
          <w:szCs w:val="20"/>
          <w:lang w:val="x-none"/>
        </w:rPr>
        <w:t xml:space="preserve">Минимален болничен престой –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en-US"/>
        </w:rPr>
        <w:t>3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x-none"/>
        </w:rPr>
        <w:t>дни</w:t>
      </w: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C227A" w:rsidRPr="00DC227A" w:rsidRDefault="00DC227A" w:rsidP="001F0395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КОДОВЕ НА БОЛЕСТИ ПО МКБ-10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C227A" w:rsidRPr="00DC227A" w:rsidTr="00080857">
        <w:tc>
          <w:tcPr>
            <w:tcW w:w="951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6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Имунодефицит с преобладаващ недостиг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Наследствена хипогамаглобулинемия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Автозомно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Свързана с Х-хромозомата агамаглобулинемия [Брутон] ( с дефицит в растежния хормон)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80.1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Нефамилна хипогамаглобулимемия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 с В лимфоцити, носещи имуноглобулини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Обикновена променлива агамаглобулинемия [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CVAgamma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Хипогамаглобулинемия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80.2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Селективен дефицит на имуноглобулин А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IgA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80.3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подкласовете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повишен имуноглобулин М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93"/>
              </w:tabs>
              <w:autoSpaceDE w:val="0"/>
              <w:autoSpaceDN w:val="0"/>
              <w:adjustRightInd w:val="0"/>
              <w:spacing w:after="0" w:line="240" w:lineRule="auto"/>
              <w:ind w:left="1193" w:hanging="119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Дефицит на антитела с близки до нормата имуноглобулини или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Дефицит на антитела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D80.7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Преходна хипогамаглобулинемия при деца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Други имунодефицитни състояния с преобладаващ дефект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Дефицит на капа-леки вериги         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преобладаващ дефект на антитела,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Комбинирани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автозомна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0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Тежък комбиниран имунен дефицит с ретикулна дисгенеза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Тежък комбиниран имунен дефицит с ниско съдържание на Т и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   D81.2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Тежък комбиниран имунен дефицит с ниско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или нормално съдържание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              на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аденозиндезаминаза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ADA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Nezelof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81.5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пурин-нуклеозид-фосфорилаза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PNP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81.6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81.7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комбинирани имунодефицити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Дефицит на биотин-зависисма карбоксилаза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Комбиниран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 свързан с други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атаксия-телеангиектазия [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Louis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Bar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11.3)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Wiskott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Aldrich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Имунодефицит с тромбоцитопения и екзема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82.1 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Di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George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Синдром на дивертикул на фаринкса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Тимус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: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алимфоплазия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аплазия или хипоплазия с имунен 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Имунодефицит с къси крайници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Имунодефицит като резултат от наследствен дефект, предизвикан от вируса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Epstein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Barr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Свързана с Х-хромозомата лимфопролиферативна болест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Синдром на хиперимуноглобулин Е (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IgE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 други уточнени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със значителни дефекти,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Обикновен променлив имунодефицит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отклонения в броя и функцията на В-клетките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нарушения в имунорегулаторните Т-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автоантитела към В- или Т-клетки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обикновени променливи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Обикновен променлив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62"/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имунодефицити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 на функционалния антиген-1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LFA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лимфоцитите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Дефекти в системата на комплемента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Дефицит на С1 естеразен инхибитор [С1-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INH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уточнени имунодефицити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нарушения с включване на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хиперглобулинемия БДУ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77.1)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моноклонална гамопатия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отмиране и отхвърляне на трансплантата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Поликлонална хипергамаглобулинемия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52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Доброкачествена хипергамаглобулинемична пурпура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Поликлонална гамапатия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Хипергамаглобулинемия, неуточнена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уточнени нарушения, включващи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Нарушение, включващо имунния механизъм, неуточнено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Имунна болест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Системни атрофии, засягащи предимно централната нервна система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G11.3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Наследствена атаксия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Вродени аномалии на слезката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Аспления (вродена)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Вродена спленомегалия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изомерия на предсърдното ухо (с аспления или полиспления)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(-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-)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:rsidR="00EB1FF5" w:rsidRPr="00DC227A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КОДОВЕ НА ОСНОВНИ ПРОЦЕДУРИ ПО </w:t>
      </w:r>
      <w:r w:rsidRPr="00DC227A">
        <w:rPr>
          <w:rFonts w:ascii="Arial" w:eastAsia="Times New Roman" w:hAnsi="Arial" w:cs="Times New Roman"/>
          <w:b/>
          <w:bCs/>
          <w:noProof/>
          <w:szCs w:val="20"/>
          <w:highlight w:val="yellow"/>
          <w:lang w:val="x-none"/>
        </w:rPr>
        <w:t>МКБ-9 КМ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/АКМП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EB1FF5" w:rsidRPr="00DC227A" w:rsidTr="00532750">
        <w:trPr>
          <w:jc w:val="center"/>
        </w:trPr>
        <w:tc>
          <w:tcPr>
            <w:tcW w:w="9426" w:type="dxa"/>
          </w:tcPr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B1FF5" w:rsidRPr="00DC227A" w:rsidRDefault="00EB1FF5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val="ru-RU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  <w:t>**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87.44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ab/>
              <w:t xml:space="preserve"> Рентгеново изследване на гръден кош</w:t>
            </w:r>
          </w:p>
          <w:p w:rsidR="00EB1FF5" w:rsidRPr="00DC227A" w:rsidRDefault="00EB1FF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Друга рентгенография на гръден кош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Включва: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бронх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color w:val="222122"/>
                <w:sz w:val="20"/>
                <w:szCs w:val="20"/>
              </w:rPr>
              <w:t>Не включва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такава на: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ребра (58521-01, 58524-00 [1972])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14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trike/>
                <w:sz w:val="16"/>
                <w:szCs w:val="16"/>
                <w:lang w:val="en-US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 88.01 КАТ на корем</w:t>
            </w:r>
          </w:p>
          <w:p w:rsidR="00EB1FF5" w:rsidRPr="00DC227A" w:rsidRDefault="00EB1FF5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КАТ скениране на корем</w:t>
            </w:r>
          </w:p>
          <w:p w:rsidR="00EB1FF5" w:rsidRPr="00DC227A" w:rsidRDefault="00EB1FF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корем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EB1FF5" w:rsidRPr="00DC227A" w:rsidRDefault="00EB1FF5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**88.38 друга КАТ </w:t>
            </w:r>
          </w:p>
          <w:p w:rsidR="00EB1FF5" w:rsidRPr="00DC227A" w:rsidRDefault="00EB1FF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Компютърна томография на гръден кош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гръден кош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гръдна стена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eastAsia="bg-BG"/>
              </w:rPr>
              <w:t xml:space="preserve">Диагностичен ултразвук (Ехография) 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**88.74 диагностичен ултразвук на храносмилателна система</w:t>
            </w:r>
          </w:p>
          <w:p w:rsidR="00EB1FF5" w:rsidRPr="00DC227A" w:rsidRDefault="00EB1FF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1F497D"/>
                <w:sz w:val="16"/>
                <w:szCs w:val="16"/>
              </w:rPr>
            </w:pPr>
          </w:p>
          <w:p w:rsidR="00F030C7" w:rsidRPr="00DC227A" w:rsidRDefault="00F030C7" w:rsidP="00F030C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1F497D"/>
                <w:sz w:val="16"/>
                <w:szCs w:val="16"/>
              </w:rPr>
            </w:pP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**90.59 ИЗСЛЕДВАНЕ НА КРЪВ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Хематологични изследвания: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Пълна кръвна картина /СУЕ, хемоглобин, хематокрит, тромбоцити, левкоцити, ДКК, 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при нужда хемостазни показатели /РТ,аРТТ, INR, фибриноген/ 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Биохимични изследвания – кр. захар, креатинин, урея,  пикочна киселина, ASAT, ALAT,АФ,ГГТ,общ и директен билирубин, йонограма, общ белтък и други ( по преценка)</w:t>
            </w:r>
          </w:p>
          <w:p w:rsidR="00EB1FF5" w:rsidRPr="002E29B1" w:rsidRDefault="00EB1FF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B1FF5" w:rsidRPr="002E29B1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активирано парциално тромбопластиново време (APTT)   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EB1FF5" w:rsidRPr="002E29B1" w:rsidRDefault="00EB1FF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91910-16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EB1FF5" w:rsidRPr="002E29B1" w:rsidRDefault="00EB1FF5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color w:val="FF0000"/>
                <w:sz w:val="16"/>
                <w:szCs w:val="16"/>
              </w:rPr>
            </w:pPr>
          </w:p>
          <w:p w:rsidR="00EB1FF5" w:rsidRPr="002E29B1" w:rsidRDefault="00EB1FF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FF0000"/>
                <w:sz w:val="16"/>
                <w:szCs w:val="16"/>
              </w:rPr>
            </w:pPr>
          </w:p>
          <w:p w:rsidR="00EB1FF5" w:rsidRPr="002E29B1" w:rsidRDefault="00EB1FF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FF0000"/>
                <w:sz w:val="16"/>
                <w:szCs w:val="16"/>
                <w:highlight w:val="yellow"/>
              </w:rPr>
            </w:pPr>
            <w:r w:rsidRPr="002E29B1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**90.98 ИЗСЛЕДВАНЕ НА КРЪВ - Имунологични изследвания</w:t>
            </w:r>
          </w:p>
          <w:p w:rsidR="00EB1FF5" w:rsidRPr="002E29B1" w:rsidRDefault="00EB1FF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Имунологични изследвания</w:t>
            </w:r>
          </w:p>
          <w:p w:rsidR="00EB1FF5" w:rsidRPr="002E29B1" w:rsidRDefault="00EB1FF5" w:rsidP="00532750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sz w:val="20"/>
                <w:szCs w:val="20"/>
              </w:rPr>
              <w:t>Подгрупа 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: изследване на хуморален имунитет  IgG и/или A, и/или М, и/или E, и/или I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gG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</w:rPr>
              <w:t xml:space="preserve"> субкласове и/или криоглобулини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криоглобулин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IgM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IgG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IgА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IgE</w:t>
            </w:r>
          </w:p>
          <w:p w:rsidR="00EB1FF5" w:rsidRPr="002E29B1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91905-04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хуморален имунитет Ig G и/или A, и/или М, и/или E, и/ или Ig субкласове и/или криоглобулини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532750">
            <w:pPr>
              <w:keepNext/>
              <w:keepLines/>
              <w:spacing w:after="0" w:line="240" w:lineRule="auto"/>
              <w:ind w:left="1062" w:hanging="992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2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комплемент – С3 ,С4, 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и/или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С1 инхибитор (функционален и/или антигенен), и/или C1q и/или CH50.  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С3 компонент на комплемента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С4 компонент на комплемента</w:t>
            </w:r>
          </w:p>
          <w:p w:rsidR="00EB1FF5" w:rsidRPr="002E29B1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С1 компонент на комплемента</w:t>
            </w:r>
          </w:p>
          <w:p w:rsidR="00EB1FF5" w:rsidRPr="002E29B1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C1q компонент на комплемента</w:t>
            </w:r>
          </w:p>
          <w:p w:rsidR="00EB1FF5" w:rsidRPr="002E29B1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CH50 компонент на комплемента</w:t>
            </w:r>
          </w:p>
          <w:p w:rsidR="00EB1FF5" w:rsidRPr="002E29B1" w:rsidRDefault="00EB1FF5" w:rsidP="00532750">
            <w:pPr>
              <w:keepNext/>
              <w:keepLines/>
              <w:spacing w:after="0" w:line="240" w:lineRule="auto"/>
              <w:ind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  <w:p w:rsidR="00EB1FF5" w:rsidRPr="002E29B1" w:rsidRDefault="00EB1FF5" w:rsidP="00532750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3: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изследване на клетъчен имунитет – определяне на лимфоцитните популации: CD3+, CD3+8+, CD3+4+, CD19+, CD3-16+56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+  и/или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други специфични клетъчно– повърхностни лимфоцитни маркери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CD3+8+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CD3+4+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CD19+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CD3-16+56+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други специфични клетъчно – повърхностни лимфоцитни маркери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532750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4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фагоцитната активност и/или на респираторния взрив на неутрофилите и моноцитите. 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Флоуцитометрично определяне на фагоцитозата</w:t>
            </w:r>
          </w:p>
          <w:p w:rsidR="00EB1FF5" w:rsidRPr="002E29B1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оксидативния взрив на периферни неутрофили и моноцити с Нитроблaу тетразолов тест</w:t>
            </w:r>
          </w:p>
          <w:p w:rsidR="00EB1FF5" w:rsidRPr="002E29B1" w:rsidRDefault="00EB1FF5" w:rsidP="00532750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2E29B1" w:rsidRDefault="00EB1FF5" w:rsidP="00532750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2E29B1" w:rsidRDefault="00EB1FF5" w:rsidP="00532750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  <w:lang w:eastAsia="bg-BG"/>
              </w:rPr>
            </w:pPr>
            <w:r w:rsidRPr="002E29B1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**90.33 МИКРОБИОЛОГИЧНИ ИЗСЛЕДВАНИЯ - ХЕМОКУЛТУРА, И/ИЛИ КОПРОКУЛТУРА, И/ИЛИ НОСЕН И/ИЛИ ГЪРЛЕН СЕКРЕТ, И/ИЛИ ХРАЧКА И/ИЛИ ПОСЯВКА НА БРОНХОАЛВЕОЛАРЕН ЛАВАЖ</w:t>
            </w:r>
          </w:p>
          <w:p w:rsidR="00EB1FF5" w:rsidRPr="002E29B1" w:rsidRDefault="00EB1FF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proofErr w:type="spellEnd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proofErr w:type="spellEnd"/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EB1FF5" w:rsidRPr="002E29B1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91937-02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кръв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EB1FF5" w:rsidRPr="002E29B1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91929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EB1FF5" w:rsidRPr="002E29B1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бактериална намазка</w:t>
            </w:r>
          </w:p>
          <w:p w:rsidR="00EB1FF5" w:rsidRPr="002E29B1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</w:t>
            </w:r>
          </w:p>
          <w:p w:rsidR="00EB1FF5" w:rsidRPr="002E29B1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:rsidR="00EB1FF5" w:rsidRPr="00DC227A" w:rsidRDefault="00EB1FF5" w:rsidP="00532750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</w:p>
          <w:p w:rsidR="00EB1FF5" w:rsidRPr="00DC227A" w:rsidRDefault="00EB1FF5" w:rsidP="00532750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терапевтични процедури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*99.04 трансфузия на еритроцитна маса</w:t>
            </w:r>
          </w:p>
          <w:p w:rsidR="00EB1FF5" w:rsidRPr="00DC227A" w:rsidRDefault="00EB1FF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Прилагане на кръв и кръвни продукти 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99.05 Трансфузия на тромбоцити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99.07 Трансфузия на друг серум 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серум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*99.09 Трансфузия на друга субстанция - кръвен заместител, гранулоцити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1062"/>
                <w:tab w:val="left" w:pos="1134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532750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  *99.14 инфузия/инжекция  на нормален човешки имуноглобулин</w:t>
            </w:r>
          </w:p>
          <w:p w:rsidR="00EB1FF5" w:rsidRPr="00DC227A" w:rsidRDefault="00EB1FF5" w:rsidP="00532750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13706-05   Приложение на гама глобулин</w:t>
            </w:r>
          </w:p>
          <w:p w:rsidR="00EB1FF5" w:rsidRPr="00DC227A" w:rsidRDefault="00EB1FF5" w:rsidP="00532750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EB1FF5" w:rsidRPr="00DC227A" w:rsidRDefault="00EB1FF5" w:rsidP="00532750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Приложение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фармакотерапия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EB1FF5" w:rsidRPr="00DC227A" w:rsidRDefault="00EB1FF5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</w:p>
          <w:p w:rsidR="00EB1FF5" w:rsidRPr="00DC227A" w:rsidRDefault="00EB1FF5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DC22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EB1FF5" w:rsidRPr="00DC227A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 приложение на фармакологичен агент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567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EB1FF5" w:rsidRPr="00DC227A" w:rsidRDefault="00EB1FF5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EB1FF5" w:rsidRPr="00DC227A" w:rsidRDefault="00EB1FF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EB1FF5" w:rsidRPr="00DC227A" w:rsidRDefault="00EB1FF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99.23 инжекция на стероид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  <w:t xml:space="preserve">       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44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*99.28  инжекция или инфузия на биологичен модулатор на отговора 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</w:rPr>
              <w:t xml:space="preserve">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99.29  инфузия на ДРУГО ЛЕЧЕБНО ВЕЩЕСТВО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96199-09   Интравенозно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99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*99.99 ПЕРОРАЛНИ ИМУНОМОДУЛАТОРИ И/ИЛИ АНТИИНФЕКЦИОЗНИ ЛЕКАРСТВЕНИ СРЕДСТВА</w:t>
            </w:r>
          </w:p>
          <w:p w:rsidR="00EB1FF5" w:rsidRPr="00DC227A" w:rsidRDefault="00EB1FF5" w:rsidP="00532750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96203-02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Перорално прилагане на фармакологичен агент, друг и неспецифичен фармакологичен агент</w:t>
            </w:r>
          </w:p>
          <w:p w:rsidR="00EB1FF5" w:rsidRPr="00DC227A" w:rsidRDefault="00EB1FF5" w:rsidP="00532750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EB1FF5" w:rsidRPr="002E29B1" w:rsidRDefault="00EB1FF5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FF0000"/>
          <w:szCs w:val="20"/>
        </w:rPr>
      </w:pP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lastRenderedPageBreak/>
        <w:t>Изискване: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Клиничната пътека се счита за завършена, ако са приложени и отчетени три основни диагностични процедури, от които едната задължително е </w:t>
      </w: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t>една подгрупа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на </w:t>
      </w:r>
      <w:r w:rsidRPr="002E29B1">
        <w:rPr>
          <w:rFonts w:ascii="Arial" w:eastAsia="Times New Roman" w:hAnsi="Arial" w:cs="Times New Roman"/>
          <w:color w:val="000000"/>
          <w:szCs w:val="24"/>
          <w:highlight w:val="yellow"/>
          <w:lang w:val="x-none"/>
        </w:rPr>
        <w:t>**9</w:t>
      </w:r>
      <w:r w:rsidRPr="002E29B1">
        <w:rPr>
          <w:rFonts w:ascii="Arial" w:eastAsia="Times New Roman" w:hAnsi="Arial" w:cs="Times New Roman"/>
          <w:color w:val="000000"/>
          <w:szCs w:val="24"/>
          <w:highlight w:val="yellow"/>
          <w:lang w:val="en-US"/>
        </w:rPr>
        <w:t>0</w:t>
      </w:r>
      <w:r w:rsidRPr="002E29B1">
        <w:rPr>
          <w:rFonts w:ascii="Arial" w:eastAsia="Times New Roman" w:hAnsi="Arial" w:cs="Times New Roman"/>
          <w:color w:val="000000"/>
          <w:szCs w:val="24"/>
          <w:highlight w:val="yellow"/>
          <w:lang w:val="x-none"/>
        </w:rPr>
        <w:t>.98</w:t>
      </w:r>
      <w:r w:rsidRPr="002E29B1">
        <w:rPr>
          <w:rFonts w:ascii="Arial" w:eastAsia="Times New Roman" w:hAnsi="Arial" w:cs="Times New Roman"/>
          <w:color w:val="000000"/>
          <w:szCs w:val="24"/>
        </w:rPr>
        <w:t xml:space="preserve"> </w:t>
      </w:r>
      <w:r w:rsidRPr="002E29B1">
        <w:rPr>
          <w:rFonts w:ascii="Arial" w:eastAsia="Times New Roman" w:hAnsi="Arial" w:cs="Times New Roman"/>
          <w:b/>
          <w:color w:val="000000"/>
          <w:szCs w:val="24"/>
        </w:rPr>
        <w:t>(кодовете</w:t>
      </w:r>
      <w:r w:rsidRPr="002E29B1">
        <w:rPr>
          <w:rFonts w:ascii="Arial" w:eastAsia="Times New Roman" w:hAnsi="Arial" w:cs="Times New Roman"/>
          <w:color w:val="000000"/>
          <w:szCs w:val="24"/>
        </w:rPr>
        <w:t>, посочени в една от подгрупите на блок „Имунологични изследвания“)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и две основни терапевтични процедури, посочени в блок</w:t>
      </w:r>
      <w:r w:rsidRPr="002E29B1">
        <w:rPr>
          <w:rFonts w:ascii="Arial" w:eastAsia="Times New Roman" w:hAnsi="Arial" w:cs="Times New Roman"/>
          <w:b/>
          <w:noProof/>
          <w:color w:val="000000"/>
          <w:szCs w:val="20"/>
          <w:lang w:val="x-none"/>
        </w:rPr>
        <w:t xml:space="preserve"> Кодове на основни процедури по</w:t>
      </w:r>
      <w:r w:rsidRPr="002E29B1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 </w:t>
      </w:r>
      <w:r w:rsidRPr="002E29B1">
        <w:rPr>
          <w:rFonts w:ascii="Arial" w:eastAsia="Times New Roman" w:hAnsi="Arial" w:cs="Times New Roman"/>
          <w:b/>
          <w:bCs/>
          <w:noProof/>
          <w:szCs w:val="20"/>
          <w:highlight w:val="yellow"/>
          <w:lang w:val="x-none"/>
        </w:rPr>
        <w:t>МКБ-9 КМ</w:t>
      </w:r>
      <w:r w:rsidRPr="002E29B1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/АКМП</w:t>
      </w:r>
      <w:r w:rsidRPr="002E29B1">
        <w:rPr>
          <w:rFonts w:ascii="Arial" w:eastAsia="Times New Roman" w:hAnsi="Arial" w:cs="Times New Roman"/>
          <w:b/>
          <w:bCs/>
          <w:noProof/>
          <w:szCs w:val="20"/>
        </w:rPr>
        <w:t>.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1: Може да бъде отчетена с един от посочените кодове в групата;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2: Може да бъде отчетена с кодове 91923-04 и 91923-05 и/или 91940-00 и/или 91940-01 и 91940-02;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3: Може да бъде отчетена с кодове: 91940-03, 91940-04, 91940-05, 91940-06, 91940-07 и/или с код 91940-08;</w:t>
      </w:r>
    </w:p>
    <w:p w:rsidR="00EB1FF5" w:rsidRPr="002E29B1" w:rsidRDefault="00EB1FF5" w:rsidP="00EB1FF5">
      <w:pPr>
        <w:keepNext/>
        <w:keepLines/>
        <w:spacing w:after="0" w:line="240" w:lineRule="auto"/>
        <w:ind w:left="1204" w:hanging="637"/>
        <w:rPr>
          <w:rFonts w:ascii="Arial" w:eastAsia="Times New Roman" w:hAnsi="Arial" w:cs="Times New Roman"/>
          <w:szCs w:val="24"/>
          <w:lang w:val="x-none"/>
        </w:rPr>
      </w:pPr>
      <w:r w:rsidRPr="002E29B1">
        <w:rPr>
          <w:rFonts w:ascii="Arial" w:eastAsia="Times New Roman" w:hAnsi="Arial" w:cs="Times New Roman"/>
          <w:szCs w:val="24"/>
          <w:lang w:val="x-none"/>
        </w:rPr>
        <w:t xml:space="preserve">Подгрупа 4: Може да бъде отчетена с код </w:t>
      </w:r>
      <w:r w:rsidRPr="002E29B1">
        <w:rPr>
          <w:rFonts w:ascii="Arial" w:eastAsia="Times New Roman" w:hAnsi="Arial" w:cs="Times New Roman"/>
          <w:szCs w:val="24"/>
        </w:rPr>
        <w:t>91924-03 и/или 91924-04.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Когато се използват кодовете от блок 1923 и 1924, се извършват и кодират показателите от двата блока, включващи: ПКК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,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СУЕ, ДКК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-  задължително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; при нужда хемостазни показатели (РТ,аРТТ, INR, фибриноген) и/или Биохимични изследвания – кр</w:t>
      </w:r>
      <w:r w:rsidRPr="002E29B1">
        <w:rPr>
          <w:rFonts w:ascii="Arial" w:eastAsia="Times New Roman" w:hAnsi="Arial" w:cs="Arial"/>
          <w:color w:val="000000"/>
          <w:szCs w:val="20"/>
        </w:rPr>
        <w:t>ъвна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захар, креатинин, урея, пикочна киселина, ASAT, ALAT,АФ,ГГТ,общ и директен билирубин, йонограма, общ белтък и други ( по преценка)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и се считат за една основна диагностична процедура за завършване и отчитане на тази</w:t>
      </w:r>
      <w:r w:rsidRPr="002E29B1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КП.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szCs w:val="20"/>
          <w:lang w:val="x-none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DC227A">
        <w:rPr>
          <w:rFonts w:ascii="Arial" w:eastAsia="Times New Roman" w:hAnsi="Arial" w:cs="Times New Roman"/>
          <w:szCs w:val="20"/>
          <w:lang w:val="x-none"/>
        </w:rPr>
        <w:t xml:space="preserve">Рентгеновите филми или друг носител при образни изследвания се прикрепват към ИЗ.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Документът с резултатите от проведени образни изследвания съдържа задължително: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трите имена и възрастта на пациента;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датата на изследването;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вида на изследването;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 xml:space="preserve">- получените резултати от изследването и неговото тълкуване;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подпис на лекаря, извършил изследването.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Фишът се прикрепва към ИЗ.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x-none"/>
        </w:rPr>
      </w:pPr>
    </w:p>
    <w:p w:rsidR="00526340" w:rsidRDefault="00526340">
      <w:pPr>
        <w:rPr>
          <w:rFonts w:ascii="Arial" w:eastAsia="Times New Roman" w:hAnsi="Arial" w:cs="Times New Roman"/>
          <w:b/>
          <w:szCs w:val="24"/>
          <w:lang w:val="en-US"/>
        </w:rPr>
      </w:pPr>
      <w:r>
        <w:rPr>
          <w:rFonts w:ascii="Arial" w:eastAsia="Times New Roman" w:hAnsi="Arial" w:cs="Times New Roman"/>
          <w:b/>
          <w:szCs w:val="24"/>
          <w:lang w:val="en-US"/>
        </w:rPr>
        <w:br w:type="page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  <w:r w:rsidRPr="00DC227A">
        <w:rPr>
          <w:rFonts w:ascii="Arial" w:eastAsia="Times New Roman" w:hAnsi="Arial" w:cs="Times New Roman"/>
          <w:b/>
          <w:lang w:val="x-none"/>
        </w:rPr>
        <w:lastRenderedPageBreak/>
        <w:t>І.</w:t>
      </w:r>
      <w:r w:rsidRPr="00DC227A">
        <w:rPr>
          <w:rFonts w:ascii="Arial" w:eastAsia="Times New Roman" w:hAnsi="Arial" w:cs="Times New Roman"/>
          <w:b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u w:val="single"/>
          <w:lang w:val="x-none"/>
        </w:rPr>
        <w:t xml:space="preserve">УСЛОВИЯ ЗА СКЛЮЧВАНЕ НА ДОГОВОР И ЗА ИЗПЪЛНЕНИЕ НА КЛИНИЧНАТА ПЪТЕКА </w:t>
      </w:r>
    </w:p>
    <w:p w:rsidR="00EF362B" w:rsidRDefault="00EF362B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EF362B">
        <w:rPr>
          <w:rFonts w:ascii="Arial" w:eastAsia="Times New Roman" w:hAnsi="Arial" w:cs="Arial"/>
          <w:b/>
          <w:noProof/>
          <w:lang w:val="ru-RU"/>
        </w:rPr>
        <w:t>Клиничната пътека включва дейности и услуги от обхвата на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F362B">
        <w:rPr>
          <w:rFonts w:ascii="Arial" w:eastAsia="Times New Roman" w:hAnsi="Arial" w:cs="Arial"/>
          <w:b/>
          <w:noProof/>
          <w:lang w:val="ru-RU"/>
        </w:rPr>
        <w:t>медицинската специалност "Клинична имунология", осъществявана на трето ниво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F362B">
        <w:rPr>
          <w:rFonts w:ascii="Arial" w:eastAsia="Times New Roman" w:hAnsi="Arial" w:cs="Arial"/>
          <w:b/>
          <w:noProof/>
          <w:lang w:val="ru-RU"/>
        </w:rPr>
        <w:t>на компетентност, съгласно медицински</w:t>
      </w:r>
      <w:r>
        <w:rPr>
          <w:rFonts w:ascii="Arial" w:eastAsia="Times New Roman" w:hAnsi="Arial" w:cs="Arial"/>
          <w:b/>
          <w:noProof/>
          <w:lang w:val="ru-RU"/>
        </w:rPr>
        <w:t xml:space="preserve"> стандарт "Клинична имунология"</w:t>
      </w:r>
      <w:r w:rsidRPr="00EF362B">
        <w:rPr>
          <w:rFonts w:ascii="Arial" w:eastAsia="Times New Roman" w:hAnsi="Arial" w:cs="Arial"/>
          <w:b/>
          <w:noProof/>
          <w:lang w:val="ru-RU"/>
        </w:rPr>
        <w:t>.</w:t>
      </w:r>
      <w:r w:rsidR="00DC227A" w:rsidRPr="0007679D">
        <w:rPr>
          <w:rFonts w:ascii="Arial" w:eastAsia="Times New Roman" w:hAnsi="Arial" w:cs="Arial"/>
          <w:b/>
          <w:noProof/>
          <w:lang w:val="ru-RU"/>
        </w:rPr>
        <w:t xml:space="preserve"> </w:t>
      </w:r>
    </w:p>
    <w:p w:rsidR="00DC227A" w:rsidRPr="00DC227A" w:rsidRDefault="00DC227A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07679D">
        <w:rPr>
          <w:rFonts w:ascii="Arial" w:eastAsia="Times New Roman" w:hAnsi="Arial" w:cs="Arial"/>
          <w:noProof/>
          <w:lang w:val="ru-RU"/>
        </w:rPr>
        <w:t xml:space="preserve">Изискванията </w:t>
      </w:r>
      <w:r w:rsidRPr="00DC227A">
        <w:rPr>
          <w:rFonts w:ascii="Arial" w:eastAsia="Times New Roman" w:hAnsi="Arial" w:cs="Arial"/>
          <w:noProof/>
          <w:lang w:val="ru-RU"/>
        </w:rPr>
        <w:t>за наличие на задължителни звена, апаратура и специалисти са в</w:t>
      </w:r>
      <w:r w:rsidRPr="00DC227A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 w:rsidRPr="00DC227A">
        <w:rPr>
          <w:rFonts w:ascii="Arial" w:eastAsia="Times New Roman" w:hAnsi="Arial" w:cs="Times New Roman"/>
          <w:b/>
          <w:noProof/>
          <w:lang w:val="ru-RU"/>
        </w:rPr>
        <w:t>1</w:t>
      </w:r>
      <w:r w:rsidRPr="00DC227A">
        <w:rPr>
          <w:rFonts w:ascii="Arial" w:eastAsia="Times New Roman" w:hAnsi="Arial" w:cs="Times New Roman"/>
          <w:b/>
          <w:noProof/>
          <w:lang w:val="x-none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 ИЗПЪЛНИТЕЛ НА БОЛНИЧНА ПОМОЩ</w:t>
      </w:r>
      <w:r w:rsidRPr="00DC227A">
        <w:rPr>
          <w:rFonts w:ascii="Arial" w:eastAsia="Times New Roman" w:hAnsi="Arial" w:cs="Times New Roman"/>
          <w:b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lang w:val="en-US"/>
        </w:rPr>
      </w:pPr>
      <w:r w:rsidRPr="00DC227A">
        <w:rPr>
          <w:rFonts w:ascii="Arial" w:eastAsia="Times New Roman" w:hAnsi="Arial" w:cs="Times New Roman"/>
          <w:noProof/>
          <w:lang w:val="x-none"/>
        </w:rPr>
        <w:t>Лечебното заведение за болнична помощ може да осигури и чрез договор, вменените като задължителни звена, медицинска апаратура и оборудване, и със структури на извънболничната помощ, разположени на територията му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tbl>
      <w:tblPr>
        <w:tblW w:w="9221" w:type="dxa"/>
        <w:jc w:val="center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1"/>
      </w:tblGrid>
      <w:tr w:rsidR="00DC227A" w:rsidRPr="00DC227A" w:rsidTr="00080857">
        <w:trPr>
          <w:jc w:val="center"/>
        </w:trPr>
        <w:tc>
          <w:tcPr>
            <w:tcW w:w="9221" w:type="dxa"/>
            <w:tcBorders>
              <w:top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080857">
        <w:trPr>
          <w:trHeight w:val="503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клинична имунология  </w:t>
            </w:r>
          </w:p>
          <w:p w:rsidR="00DC227A" w:rsidRPr="001F0395" w:rsidRDefault="00DC227A" w:rsidP="001F0395">
            <w:pPr>
              <w:keepNext/>
              <w:keepLines/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</w:tc>
      </w:tr>
      <w:tr w:rsidR="00DC227A" w:rsidRPr="00DC227A" w:rsidTr="000361C2">
        <w:trPr>
          <w:trHeight w:val="303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2. Лаборатория/клиника/отделение по клинична имунология ІІІ ниво</w:t>
            </w:r>
          </w:p>
        </w:tc>
      </w:tr>
      <w:tr w:rsidR="00DC227A" w:rsidRPr="00DC227A" w:rsidTr="000361C2">
        <w:trPr>
          <w:trHeight w:val="280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3.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ОАРИЛ/КАРИЛ</w:t>
            </w:r>
          </w:p>
        </w:tc>
      </w:tr>
      <w:tr w:rsidR="00DC227A" w:rsidRPr="00DC227A" w:rsidTr="00080857">
        <w:trPr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4.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Клинична лаборатория </w:t>
            </w:r>
          </w:p>
        </w:tc>
      </w:tr>
      <w:tr w:rsidR="00DC227A" w:rsidRPr="00DC227A" w:rsidTr="00080857">
        <w:trPr>
          <w:trHeight w:val="379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5.Образна диагностика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</w:rPr>
      </w:pPr>
    </w:p>
    <w:p w:rsidR="00DC227A" w:rsidRPr="00DC227A" w:rsidRDefault="00DC227A" w:rsidP="00DC227A">
      <w:pPr>
        <w:keepNext/>
        <w:keepLines/>
        <w:tabs>
          <w:tab w:val="left" w:pos="270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bCs/>
          <w:noProof/>
        </w:rPr>
        <w:t xml:space="preserve">2. </w:t>
      </w:r>
      <w:r w:rsidRPr="00DC227A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/>
          <w:noProof/>
        </w:rPr>
        <w:t xml:space="preserve">НА ТЕРИТОРИЯТА НА ЛЕЧЕБНОТО ЗАВЕДЕНИЕ, ИЗПЪЛНИТЕЛ НА БОЛНИЧНА </w:t>
      </w:r>
      <w:r w:rsidRPr="00DC227A">
        <w:rPr>
          <w:rFonts w:ascii="Arial" w:eastAsia="Times New Roman" w:hAnsi="Arial" w:cs="Arial"/>
          <w:noProof/>
        </w:rPr>
        <w:t xml:space="preserve">ПОМОЩ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Cs/>
          <w:noProof/>
          <w:lang w:val="en-GB"/>
        </w:rPr>
        <w:t xml:space="preserve">Лечебното заведение за болнична помощ </w:t>
      </w:r>
      <w:r w:rsidRPr="00DC227A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C227A">
        <w:rPr>
          <w:rFonts w:ascii="Arial" w:eastAsia="Times New Roman" w:hAnsi="Arial" w:cs="Arial"/>
          <w:bCs/>
          <w:noProof/>
          <w:lang w:val="en-GB"/>
        </w:rPr>
        <w:t>задължителн</w:t>
      </w:r>
      <w:r w:rsidRPr="00DC227A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процедура и има договор с НЗОК.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tbl>
      <w:tblPr>
        <w:tblW w:w="0" w:type="auto"/>
        <w:jc w:val="center"/>
        <w:tblInd w:w="-3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79"/>
      </w:tblGrid>
      <w:tr w:rsidR="00DC227A" w:rsidRPr="00DC227A" w:rsidTr="00080857">
        <w:trPr>
          <w:jc w:val="center"/>
        </w:trPr>
        <w:tc>
          <w:tcPr>
            <w:tcW w:w="887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080857">
        <w:trPr>
          <w:trHeight w:val="404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1. Отделение/лаборатория по трансфузионна хематология </w:t>
            </w:r>
          </w:p>
        </w:tc>
      </w:tr>
      <w:tr w:rsidR="00DC227A" w:rsidRPr="00DC227A" w:rsidTr="00080857">
        <w:trPr>
          <w:trHeight w:val="359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2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. Микробиологична  лаборатория на територията на областта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DC227A" w:rsidRPr="00DC227A" w:rsidRDefault="00DC227A" w:rsidP="00DC227A">
      <w:pPr>
        <w:keepNext/>
        <w:keepLines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C227A">
        <w:rPr>
          <w:rFonts w:ascii="Arial" w:eastAsia="Times New Roman" w:hAnsi="Arial" w:cs="Times New Roman"/>
          <w:b/>
          <w:szCs w:val="20"/>
          <w:lang w:val="x-none"/>
        </w:rPr>
        <w:t>НЕОБХОДИМИ СПЕЦИАЛИСТИ ЗА ИЗПЪЛНЕНИЕ НА КЛИНИЧНАТА ПЪТЕКА</w:t>
      </w:r>
    </w:p>
    <w:p w:rsidR="00DC227A" w:rsidRPr="00DC227A" w:rsidRDefault="00EF362B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x-none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 </w:t>
      </w:r>
      <w:r w:rsidR="00DC227A"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Необходими специалисти за лечение на пациентите в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к</w:t>
      </w:r>
      <w:r w:rsidR="00DC227A"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линика по клинична имунология:</w:t>
      </w:r>
    </w:p>
    <w:p w:rsidR="00DC227A" w:rsidRPr="00DC227A" w:rsidRDefault="00DC227A" w:rsidP="000361C2">
      <w:pPr>
        <w:keepNext/>
        <w:keepLines/>
        <w:spacing w:after="0" w:line="240" w:lineRule="auto"/>
        <w:ind w:left="708" w:firstLine="143"/>
        <w:jc w:val="both"/>
        <w:rPr>
          <w:rFonts w:ascii="Arial" w:eastAsia="Times New Roman" w:hAnsi="Arial" w:cs="Times New Roman"/>
        </w:rPr>
      </w:pPr>
      <w:r w:rsidRPr="00DC227A">
        <w:rPr>
          <w:rFonts w:ascii="Arial" w:eastAsia="Times New Roman" w:hAnsi="Arial" w:cs="Arial"/>
          <w:lang w:val="ru-RU"/>
        </w:rPr>
        <w:t xml:space="preserve"> - </w:t>
      </w:r>
      <w:r w:rsidRPr="00DC227A">
        <w:rPr>
          <w:rFonts w:ascii="Arial" w:eastAsia="Times New Roman" w:hAnsi="Arial" w:cs="Times New Roman"/>
          <w:lang w:val="x-none"/>
        </w:rPr>
        <w:t>двама</w:t>
      </w:r>
      <w:r w:rsidRPr="00DC227A">
        <w:rPr>
          <w:rFonts w:ascii="Arial" w:eastAsia="Times New Roman" w:hAnsi="Arial" w:cs="Times New Roman"/>
        </w:rPr>
        <w:t xml:space="preserve"> лекари</w:t>
      </w:r>
      <w:r w:rsidRPr="00DC227A">
        <w:rPr>
          <w:rFonts w:ascii="Arial" w:eastAsia="Times New Roman" w:hAnsi="Arial" w:cs="Times New Roman"/>
          <w:lang w:val="x-none"/>
        </w:rPr>
        <w:t xml:space="preserve"> със специалност по клинична имунология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lang w:val="x-none"/>
        </w:rPr>
      </w:pPr>
    </w:p>
    <w:p w:rsidR="00DC227A" w:rsidRPr="00DC227A" w:rsidRDefault="00EF362B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2.2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Необходими специалисти на територията на лечебното заведение: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анестезиология и интензивно лечение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клинична лаборатория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образна диагностика</w:t>
      </w:r>
      <w:r w:rsidRPr="00DC227A">
        <w:rPr>
          <w:rFonts w:ascii="Arial" w:eastAsia="Times New Roman" w:hAnsi="Arial" w:cs="Arial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  <w:lang w:val="x-none"/>
        </w:rPr>
      </w:pPr>
      <w:r w:rsidRPr="00DC227A">
        <w:rPr>
          <w:rFonts w:ascii="Arial" w:eastAsia="Times New Roman" w:hAnsi="Arial" w:cs="Arial"/>
          <w:b/>
          <w:noProof/>
          <w:u w:val="single"/>
          <w:lang w:val="x-none"/>
        </w:rPr>
        <w:t>ІІ. ИНДИКАЦИИ ЗА ХОСПИТАЛИЗАЦИЯ И ЛЕЧЕНИЕ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DC227A">
        <w:rPr>
          <w:rFonts w:ascii="Arial" w:eastAsia="Times New Roman" w:hAnsi="Arial" w:cs="Arial"/>
          <w:b/>
          <w:noProof/>
          <w:lang w:val="ru-RU"/>
        </w:rPr>
        <w:t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ИНДИКАЦИИ ЗА ХОСПИТАЛИЗАЦИЯ 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</w:rPr>
        <w:tab/>
        <w:t>Прием и изготвяне на диагностично-лечебен план.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Диагностични, лечебни и рехабилитационни дейности и услуги по време на хоспитализацията: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 xml:space="preserve">Лечение на пациенти </w:t>
      </w:r>
      <w:r w:rsidRPr="00DC227A">
        <w:rPr>
          <w:rFonts w:ascii="Arial" w:eastAsia="Times New Roman" w:hAnsi="Arial" w:cs="Arial"/>
        </w:rPr>
        <w:t>с</w:t>
      </w:r>
      <w:r w:rsidRPr="00DC227A">
        <w:rPr>
          <w:rFonts w:ascii="Arial" w:eastAsia="Times New Roman" w:hAnsi="Arial" w:cs="Arial"/>
          <w:lang w:val="x-none"/>
        </w:rPr>
        <w:t xml:space="preserve"> вродени имунни дефицити при необходимост от: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заместителна терапия с интравенозен гамаглобулин;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терапия с парентерални и орални имуномодулатори;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="00F807E5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терапия на възникнали усложнения, свързани с основното заболяване;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.заместителна терапия с концентриран С1-естеразен инхибитор, 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антимикробна или друга терапия на възникнали усложнения, свързани с основното заболяване.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2. ДИАГНОСТИЧНО - ЛЕЧЕБЕН АЛГОРИТЪМ.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ab/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 xml:space="preserve">Времеви график на изследванията посочени в частта “Кодове на основни процедури по 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МКБ-9 КМ/АКМП</w:t>
      </w: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>”</w:t>
      </w:r>
      <w:r w:rsidRPr="00DC227A">
        <w:rPr>
          <w:rFonts w:ascii="Arial" w:eastAsia="Times New Roman" w:hAnsi="Arial" w:cs="Arial"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Снемане на анамнеза и статус – до 2 час на първи ден;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Изследване на кръв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-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ПКК с диференциално броене - до 2 час от хоспитализацията; 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Изследване на хуморален и/или клетъчен имунитет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24 час от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Биохимични изследвания – до 12 час на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Микробиологични изследвания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en-US"/>
        </w:rPr>
        <w:t>72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Рентгенография на бял дроб – до 12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(за код D84.1 – до 24 час)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Ехография на коремни органи – до 24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(за код D84.1 – до </w:t>
      </w:r>
      <w:r w:rsidRPr="00DC227A">
        <w:rPr>
          <w:rFonts w:ascii="Arial" w:eastAsia="Times New Roman" w:hAnsi="Arial" w:cs="Arial"/>
          <w:snapToGrid w:val="0"/>
          <w:szCs w:val="20"/>
        </w:rPr>
        <w:t>48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час);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  <w:r w:rsidRPr="00DC227A">
        <w:rPr>
          <w:rFonts w:ascii="Arial" w:eastAsia="Times New Roman" w:hAnsi="Arial" w:cs="Arial"/>
          <w:lang w:val="x-none"/>
        </w:rPr>
        <w:t>Клинико-лабораторни и/или образни изследвания се извършват до края на хоспитализацията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</w:p>
    <w:p w:rsidR="00DC227A" w:rsidRPr="00DC227A" w:rsidRDefault="00DC227A" w:rsidP="00DC227A">
      <w:pPr>
        <w:keepNext/>
        <w:keepLines/>
        <w:tabs>
          <w:tab w:val="left" w:pos="567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snapToGrid w:val="0"/>
        </w:rPr>
        <w:tab/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В лечебната схема се включват </w:t>
      </w:r>
      <w:r w:rsidRPr="00DC227A">
        <w:rPr>
          <w:rFonts w:ascii="Arial" w:eastAsia="Times New Roman" w:hAnsi="Arial" w:cs="Arial"/>
          <w:lang w:val="x-none"/>
        </w:rPr>
        <w:t xml:space="preserve">медикаменти </w:t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от следните лекарствени групи използвани </w:t>
      </w:r>
      <w:r w:rsidRPr="00DC227A">
        <w:rPr>
          <w:rFonts w:ascii="Arial" w:eastAsia="Times New Roman" w:hAnsi="Arial" w:cs="Arial"/>
          <w:lang w:val="x-none"/>
        </w:rPr>
        <w:t>самостоятелно или в комбинация</w:t>
      </w:r>
      <w:r w:rsidRPr="00DC227A">
        <w:rPr>
          <w:rFonts w:ascii="Arial" w:eastAsia="Times New Roman" w:hAnsi="Arial" w:cs="Arial"/>
          <w:b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num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интравенозен човешки имуноглобулин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0.2-0.6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 т.т.</w:t>
      </w:r>
      <w:r w:rsidRPr="00DC227A">
        <w:rPr>
          <w:rFonts w:ascii="Arial" w:eastAsia="Times New Roman" w:hAnsi="Arial" w:cs="Arial"/>
          <w:lang w:val="ru-RU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в два/три последователни дни на бавна интравенозна инфузия</w:t>
      </w:r>
      <w:r w:rsidRPr="00DC227A">
        <w:rPr>
          <w:rFonts w:ascii="Arial" w:eastAsia="Times New Roman" w:hAnsi="Arial" w:cs="Arial"/>
          <w:lang w:val="ru-RU"/>
        </w:rPr>
        <w:t xml:space="preserve">. </w:t>
      </w:r>
    </w:p>
    <w:p w:rsidR="00DC227A" w:rsidRPr="00DC227A" w:rsidRDefault="00DC227A" w:rsidP="00DC227A">
      <w:pPr>
        <w:keepNext/>
        <w:keepLines/>
        <w:numPr>
          <w:ilvl w:val="1"/>
          <w:numId w:val="15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>нормален човешки имуноглобулин за подкожен път на въвеждане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0.1-0.2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</w:t>
      </w:r>
      <w:r w:rsidRPr="00DC227A">
        <w:rPr>
          <w:rFonts w:ascii="Arial" w:eastAsia="Times New Roman" w:hAnsi="Arial" w:cs="Arial"/>
          <w:lang w:val="ru-RU"/>
        </w:rPr>
        <w:t xml:space="preserve"> т.т. </w:t>
      </w:r>
      <w:r w:rsidRPr="00DC227A">
        <w:rPr>
          <w:rFonts w:ascii="Arial" w:eastAsia="Times New Roman" w:hAnsi="Arial" w:cs="Arial"/>
          <w:lang w:val="x-none"/>
        </w:rPr>
        <w:t>като подкожна инфузия с помпа на няколко места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ru-RU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концентриран С1 естеразен инхибитор 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20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x-none"/>
        </w:rPr>
        <w:t>/кг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 (от 500 до 1500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общо) </w:t>
      </w:r>
      <w:r w:rsidRPr="00DC227A">
        <w:rPr>
          <w:rFonts w:ascii="Arial" w:eastAsia="Times New Roman" w:hAnsi="Arial" w:cs="Arial"/>
          <w:color w:val="000000"/>
          <w:lang w:val="x-none"/>
        </w:rPr>
        <w:t>еднократно на бавна интравенозна инфузия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>антагонист на брадикинин-рецептор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30 </w:t>
      </w:r>
      <w:r w:rsidRPr="00DC227A">
        <w:rPr>
          <w:rFonts w:ascii="Arial" w:eastAsia="Times New Roman" w:hAnsi="Arial" w:cs="Arial"/>
          <w:color w:val="000000"/>
          <w:lang w:eastAsia="bg-BG"/>
        </w:rPr>
        <w:t>мг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 </w:t>
      </w:r>
      <w:r w:rsidRPr="00DC227A">
        <w:rPr>
          <w:rFonts w:ascii="Arial" w:eastAsia="Times New Roman" w:hAnsi="Arial" w:cs="Arial"/>
          <w:color w:val="000000"/>
          <w:lang w:eastAsia="bg-BG"/>
        </w:rPr>
        <w:t>еднократно подкожно, за предпочитане в коремната стена. Ако симптомите продължават, следващата инжекция може да се постави след шест часа. За период от 24 часа се поставят не повече от три инжекции.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глюкокортикостероиди 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color w:val="000000"/>
          <w:lang w:val="x-none"/>
        </w:rPr>
        <w:t xml:space="preserve">други терапевтични средства с имуномодулиращ ефект – </w:t>
      </w:r>
      <w:r w:rsidRPr="00DC227A">
        <w:rPr>
          <w:rFonts w:ascii="Arial" w:eastAsia="Times New Roman" w:hAnsi="Arial" w:cs="Arial"/>
          <w:noProof/>
          <w:color w:val="000000"/>
          <w:lang w:val="x-none"/>
        </w:rPr>
        <w:t>интерферон-гама, колонистимулиращ фактор и други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антибактериална терапия </w:t>
      </w:r>
      <w:r w:rsidRPr="00DC227A">
        <w:rPr>
          <w:rFonts w:ascii="Arial" w:eastAsia="Times New Roman" w:hAnsi="Arial" w:cs="Arial"/>
          <w:color w:val="000000"/>
          <w:lang w:val="x-none"/>
        </w:rPr>
        <w:t>– емпирична или съобразно изолирания бактерий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патогенетични и симптоматични средства: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при нужда вливания на глюкозо-солеви разтвори, кардиотоници, витамини, антипиретици, прясно замразена плазма или свежа кръв, </w:t>
      </w:r>
      <w:r w:rsidRPr="00DC227A">
        <w:rPr>
          <w:rFonts w:ascii="Arial" w:eastAsia="Times New Roman" w:hAnsi="Arial" w:cs="Arial"/>
        </w:rPr>
        <w:t xml:space="preserve">или </w:t>
      </w:r>
      <w:r w:rsidRPr="00DC227A">
        <w:rPr>
          <w:rFonts w:ascii="Arial" w:eastAsia="Times New Roman" w:hAnsi="Arial" w:cs="Arial"/>
          <w:lang w:val="x-none"/>
        </w:rPr>
        <w:t>други кръвни компоненти</w:t>
      </w:r>
      <w:r w:rsidRPr="00DC227A">
        <w:rPr>
          <w:rFonts w:ascii="Arial" w:eastAsia="Times New Roman" w:hAnsi="Arial" w:cs="Arial"/>
        </w:rPr>
        <w:t>,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>атенюирани андрогени, анти-фибринолитици и др.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>антимикотична терапия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>противовирусна терапия</w:t>
      </w:r>
    </w:p>
    <w:p w:rsidR="00DC227A" w:rsidRPr="002120D1" w:rsidRDefault="00DC227A" w:rsidP="002120D1">
      <w:pPr>
        <w:keepNext/>
        <w:keepLines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noProof/>
          <w:lang w:val="en-US"/>
        </w:rPr>
      </w:pPr>
      <w:r w:rsidRPr="002120D1">
        <w:rPr>
          <w:rFonts w:ascii="Arial" w:eastAsia="Times New Roman" w:hAnsi="Arial" w:cs="Arial"/>
          <w:noProof/>
          <w:lang w:val="en-US"/>
        </w:rPr>
        <w:t>Здравни грижи.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ПРАВАТА НА ПАЦИЕНТА СЕ УПРАЖНЯВАТ ПРИ СПАЗВАНЕ НА ПРАВИЛНИКА ЗА УСТРО</w:t>
      </w:r>
      <w:r w:rsidRPr="00DC227A">
        <w:rPr>
          <w:rFonts w:ascii="Arial" w:eastAsia="Times New Roman" w:hAnsi="Arial" w:cs="Arial"/>
          <w:b/>
          <w:noProof/>
        </w:rPr>
        <w:t>Й</w:t>
      </w:r>
      <w:r w:rsidRPr="00DC227A">
        <w:rPr>
          <w:rFonts w:ascii="Arial" w:eastAsia="Times New Roman" w:hAnsi="Arial" w:cs="Arial"/>
          <w:b/>
          <w:noProof/>
          <w:lang w:val="x-none"/>
        </w:rPr>
        <w:t>СТВОТО, ДЕЙНОСТТА И ВЪТРЕШНИЯ РЕД НА ЛЕЧЕБНОТО ЗАВЕДЕНИЕ.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C227A">
        <w:rPr>
          <w:rFonts w:ascii="Arial" w:eastAsia="Times New Roman" w:hAnsi="Arial" w:cs="Arial"/>
        </w:rPr>
        <w:tab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3. ПОСТАВЯНЕ НА ОКОНЧАТЕЛНА ДИАГНОЗА.</w:t>
      </w:r>
      <w:r w:rsidRPr="00DC227A">
        <w:rPr>
          <w:rFonts w:ascii="Arial" w:eastAsia="Times New Roman" w:hAnsi="Arial" w:cs="Arial"/>
          <w:strike/>
          <w:noProof/>
          <w:color w:val="FF000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 xml:space="preserve">Пациентите се хоспитализират с уточнена диагноза, но при промяна в състоянието/диагнозата се ползва информацията от анамнестичните данни, клиничната картина, медико-диагностични изследвания извършени преди и/или след хоспитализацията </w:t>
      </w:r>
      <w:r w:rsidRPr="00DC227A">
        <w:rPr>
          <w:rFonts w:ascii="Arial" w:eastAsia="Times New Roman" w:hAnsi="Arial" w:cs="Arial"/>
        </w:rPr>
        <w:t>(</w:t>
      </w:r>
      <w:r w:rsidRPr="00DC227A">
        <w:rPr>
          <w:rFonts w:ascii="Arial" w:eastAsia="Times New Roman" w:hAnsi="Arial" w:cs="Arial"/>
          <w:lang w:val="x-none"/>
        </w:rPr>
        <w:t>имунологичните, молекулярно-биологични, лабораторни, инструментални, образни и други</w:t>
      </w:r>
      <w:r w:rsidRPr="00DC227A">
        <w:rPr>
          <w:rFonts w:ascii="Arial" w:eastAsia="Times New Roman" w:hAnsi="Arial" w:cs="Arial"/>
        </w:rPr>
        <w:t xml:space="preserve">), </w:t>
      </w:r>
      <w:r w:rsidRPr="00DC227A">
        <w:rPr>
          <w:rFonts w:ascii="Arial" w:eastAsia="Times New Roman" w:hAnsi="Arial" w:cs="Arial"/>
          <w:lang w:val="x-none"/>
        </w:rPr>
        <w:t xml:space="preserve">съгласно международно приетите диагностични критерии </w:t>
      </w:r>
      <w:r w:rsidRPr="00DC227A">
        <w:rPr>
          <w:rFonts w:ascii="Arial" w:eastAsia="Times New Roman" w:hAnsi="Arial" w:cs="Arial"/>
        </w:rPr>
        <w:t>(</w:t>
      </w:r>
      <w:r w:rsidRPr="00DC227A">
        <w:rPr>
          <w:rFonts w:ascii="Arial" w:eastAsia="Times New Roman" w:hAnsi="Arial" w:cs="Arial"/>
          <w:lang w:val="x-none"/>
        </w:rPr>
        <w:t>например на пан-американската група за имунодефицити (PAGID) и европейското дружество за имунодефицити (ESID) за първичните имунодефицити</w:t>
      </w:r>
      <w:r w:rsidRPr="00DC227A">
        <w:rPr>
          <w:rFonts w:ascii="Arial" w:eastAsia="Times New Roman" w:hAnsi="Arial" w:cs="Arial"/>
        </w:rPr>
        <w:t>)</w:t>
      </w:r>
      <w:r w:rsidRPr="00DC227A">
        <w:rPr>
          <w:rFonts w:ascii="Arial" w:eastAsia="Times New Roman" w:hAnsi="Arial" w:cs="Arial"/>
          <w:lang w:val="x-none"/>
        </w:rPr>
        <w:t xml:space="preserve">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ab/>
        <w:t xml:space="preserve">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4. ДЕХОСПИТАЛИЗАЦИЯ И ОПРЕДЕЛЯНЕ НА СЛЕДБОЛНИЧЕН РЕЖИМ</w:t>
      </w:r>
      <w:r w:rsidRPr="00DC227A">
        <w:rPr>
          <w:rFonts w:ascii="Arial" w:eastAsia="Times New Roman" w:hAnsi="Arial" w:cs="Arial"/>
          <w:b/>
          <w:lang w:val="x-none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</w:rPr>
      </w:pPr>
      <w:r w:rsidRPr="00DC227A">
        <w:rPr>
          <w:rFonts w:ascii="Arial" w:eastAsia="Times New Roman" w:hAnsi="Arial" w:cs="Arial"/>
          <w:noProof/>
          <w:snapToGrid w:val="0"/>
        </w:rPr>
        <w:t>М</w:t>
      </w:r>
      <w:r w:rsidRPr="00DC227A">
        <w:rPr>
          <w:rFonts w:ascii="Arial" w:eastAsia="Times New Roman" w:hAnsi="Arial" w:cs="Arial"/>
          <w:noProof/>
          <w:snapToGrid w:val="0"/>
          <w:lang w:val="x-none"/>
        </w:rPr>
        <w:t>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болният се дехоспитализира при определяне на терапевтичното поведение и проведена терапия, с подобрение или без промяна на състоянието. В епикризата се вписва схемата на последващото амбулаторно лечение.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snapToGrid w:val="0"/>
          <w:lang w:val="x-none"/>
        </w:rPr>
        <w:t>Довършване на лечебния процес и проследяване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При изписването се дава епикриза, включваща план за поведение и наблюдение от специалист клиничен имунолог или педиатър и общо практикуващ лекар, както и становище за провеждане на следващ терапевтичен курс, вписано в епикризата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Препоръчва</w:t>
      </w:r>
      <w:r w:rsidRPr="00DC227A">
        <w:rPr>
          <w:rFonts w:ascii="Arial" w:eastAsia="Times New Roman" w:hAnsi="Arial" w:cs="Arial"/>
        </w:rPr>
        <w:t>т</w:t>
      </w:r>
      <w:r w:rsidRPr="00DC227A">
        <w:rPr>
          <w:rFonts w:ascii="Arial" w:eastAsia="Times New Roman" w:hAnsi="Arial" w:cs="Arial"/>
          <w:lang w:val="x-none"/>
        </w:rPr>
        <w:t xml:space="preserve"> се два контролни прегледа след дехоспитализацията в рамките на един месец.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5. МЕДИЦИНСКА ЕКСПЕРТИЗА НА РАБОТОСПОСОБНОСТТА</w:t>
      </w:r>
      <w:r w:rsidRPr="00DC227A">
        <w:rPr>
          <w:rFonts w:ascii="Arial" w:eastAsia="Times New Roman" w:hAnsi="Arial" w:cs="Arial"/>
          <w:noProof/>
          <w:color w:val="000000"/>
          <w:lang w:val="x-none"/>
        </w:rPr>
        <w:t xml:space="preserve"> – извършва се съгласно Наредба за медицинската експертиза на работоспособността.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C227A">
        <w:rPr>
          <w:rFonts w:ascii="Arial" w:eastAsia="Times New Roman" w:hAnsi="Arial" w:cs="Arial"/>
          <w:noProof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  <w:r w:rsidRPr="00DC227A">
        <w:rPr>
          <w:rFonts w:ascii="Arial" w:eastAsia="Times New Roman" w:hAnsi="Arial" w:cs="Arial"/>
          <w:b/>
          <w:caps/>
          <w:noProof/>
          <w:lang w:val="ru-RU"/>
        </w:rPr>
        <w:t xml:space="preserve">ІІІ. </w:t>
      </w:r>
      <w:r w:rsidRPr="00DC227A">
        <w:rPr>
          <w:rFonts w:ascii="Arial" w:eastAsia="Times New Roman" w:hAnsi="Arial" w:cs="Arial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1.</w:t>
      </w:r>
      <w:r w:rsidRPr="00DC227A">
        <w:rPr>
          <w:rFonts w:ascii="Arial" w:eastAsia="Times New Roman" w:hAnsi="Arial" w:cs="Arial"/>
          <w:noProof/>
          <w:lang w:val="x-none"/>
        </w:rPr>
        <w:t xml:space="preserve"> </w:t>
      </w:r>
      <w:r w:rsidRPr="00DC227A">
        <w:rPr>
          <w:rFonts w:ascii="Arial" w:eastAsia="Times New Roman" w:hAnsi="Arial" w:cs="Arial"/>
          <w:b/>
          <w:noProof/>
          <w:lang w:val="x-none"/>
        </w:rPr>
        <w:t>ХОСПИТАЛИЗАЦИЯТА НА ПАЦИЕНТА</w:t>
      </w:r>
      <w:r w:rsidRPr="00DC227A">
        <w:rPr>
          <w:rFonts w:ascii="Arial" w:eastAsia="Times New Roman" w:hAnsi="Arial" w:cs="Arial"/>
          <w:noProof/>
          <w:lang w:val="x-none"/>
        </w:rPr>
        <w:t xml:space="preserve"> се документира в “</w:t>
      </w:r>
      <w:r w:rsidRPr="00DC227A">
        <w:rPr>
          <w:rFonts w:ascii="Arial" w:eastAsia="Times New Roman" w:hAnsi="Arial" w:cs="Arial"/>
          <w:i/>
          <w:noProof/>
          <w:lang w:val="x-none"/>
        </w:rPr>
        <w:t>История на заболяването</w:t>
      </w:r>
      <w:r w:rsidRPr="00DC227A">
        <w:rPr>
          <w:rFonts w:ascii="Arial" w:eastAsia="Times New Roman" w:hAnsi="Arial" w:cs="Arial"/>
          <w:noProof/>
          <w:lang w:val="x-none"/>
        </w:rPr>
        <w:t xml:space="preserve">” (ИЗ) и в част ІІ на </w:t>
      </w:r>
      <w:r w:rsidRPr="00DC227A">
        <w:rPr>
          <w:rFonts w:ascii="Arial" w:eastAsia="Times New Roman" w:hAnsi="Arial" w:cs="Times New Roman"/>
          <w:i/>
          <w:noProof/>
          <w:szCs w:val="20"/>
          <w:lang w:val="x-none"/>
        </w:rPr>
        <w:t xml:space="preserve">„Направление за хоспитализация/лечение по амбулаторни процедури“ </w:t>
      </w:r>
      <w:r w:rsidRPr="00DC227A">
        <w:rPr>
          <w:rFonts w:ascii="Arial" w:eastAsia="Times New Roman" w:hAnsi="Arial" w:cs="Arial"/>
          <w:i/>
          <w:noProof/>
          <w:lang w:val="x-none"/>
        </w:rPr>
        <w:t>- бл.МЗ-НЗОК №7.</w:t>
      </w:r>
    </w:p>
    <w:p w:rsidR="00DC227A" w:rsidRPr="00DC227A" w:rsidRDefault="00DC227A" w:rsidP="00DC227A">
      <w:pPr>
        <w:keepNext/>
        <w:keepLines/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C227A">
        <w:rPr>
          <w:rFonts w:ascii="Arial" w:eastAsia="Times New Roman" w:hAnsi="Arial" w:cs="Arial"/>
          <w:b/>
          <w:noProof/>
        </w:rPr>
        <w:t>2.</w:t>
      </w:r>
      <w:r w:rsidRPr="00DC227A">
        <w:rPr>
          <w:rFonts w:ascii="Arial" w:eastAsia="Times New Roman" w:hAnsi="Arial" w:cs="Arial"/>
          <w:noProof/>
        </w:rPr>
        <w:t xml:space="preserve"> </w:t>
      </w:r>
      <w:r w:rsidRPr="00DC227A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DC227A">
        <w:rPr>
          <w:rFonts w:ascii="Arial" w:eastAsia="Times New Roman" w:hAnsi="Arial" w:cs="Arial"/>
          <w:noProof/>
        </w:rPr>
        <w:t xml:space="preserve"> – в</w:t>
      </w:r>
      <w:r w:rsidRPr="00DC227A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DC227A">
        <w:rPr>
          <w:rFonts w:ascii="Arial" w:eastAsia="Times New Roman" w:hAnsi="Arial" w:cs="Arial"/>
          <w:noProof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DC227A">
        <w:rPr>
          <w:rFonts w:ascii="Arial" w:eastAsia="Times New Roman" w:hAnsi="Arial" w:cs="Arial"/>
          <w:i/>
        </w:rPr>
        <w:t>-</w:t>
      </w:r>
      <w:r w:rsidRPr="00DC227A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</w:rPr>
        <w:tab/>
        <w:t xml:space="preserve">част ІІІ на </w:t>
      </w:r>
      <w:r w:rsidRPr="00DC227A">
        <w:rPr>
          <w:rFonts w:ascii="Arial" w:eastAsia="Times New Roman" w:hAnsi="Arial" w:cs="Times New Roman"/>
          <w:i/>
          <w:noProof/>
          <w:szCs w:val="20"/>
          <w:lang w:val="x-none"/>
        </w:rPr>
        <w:t>„Направление за хоспитализация/лечение по амбулаторни процедури“</w:t>
      </w:r>
      <w:r w:rsidRPr="00DC227A"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  <w:t xml:space="preserve"> </w:t>
      </w:r>
      <w:r w:rsidRPr="00DC227A">
        <w:rPr>
          <w:rFonts w:ascii="Arial" w:eastAsia="Times New Roman" w:hAnsi="Arial" w:cs="Arial"/>
          <w:i/>
          <w:noProof/>
        </w:rPr>
        <w:t>- бл.МЗ-НЗОК №7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</w:rPr>
        <w:tab/>
        <w:t>епикриза – получава се срещу подпис на пациента (родителя/настойника/попечителя), отразен в ИЗ.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C227A">
        <w:rPr>
          <w:rFonts w:ascii="Arial" w:eastAsia="Times New Roman" w:hAnsi="Arial" w:cs="Arial"/>
          <w:b/>
          <w:lang w:val="ru-RU"/>
        </w:rPr>
        <w:t>4</w:t>
      </w:r>
      <w:r w:rsidRPr="00DC227A">
        <w:rPr>
          <w:rFonts w:ascii="Arial" w:eastAsia="Times New Roman" w:hAnsi="Arial" w:cs="Arial"/>
          <w:b/>
        </w:rPr>
        <w:t>.</w:t>
      </w:r>
      <w:r w:rsidRPr="00DC227A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DC227A">
        <w:rPr>
          <w:rFonts w:ascii="Arial" w:eastAsia="Times New Roman" w:hAnsi="Arial" w:cs="Arial"/>
          <w:noProof/>
        </w:rPr>
        <w:t>– подписва се от пациента (родителя/настойника</w:t>
      </w:r>
      <w:r w:rsidRPr="00DC227A">
        <w:rPr>
          <w:rFonts w:ascii="Arial" w:eastAsia="Times New Roman" w:hAnsi="Arial" w:cs="Arial"/>
        </w:rPr>
        <w:t>/попечителя</w:t>
      </w:r>
      <w:r w:rsidRPr="00DC227A">
        <w:rPr>
          <w:rFonts w:ascii="Arial" w:eastAsia="Times New Roman" w:hAnsi="Arial" w:cs="Arial"/>
          <w:noProof/>
        </w:rPr>
        <w:t xml:space="preserve">) и е неразделна част от </w:t>
      </w:r>
      <w:r w:rsidRPr="00DC227A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lang w:val="x-none"/>
        </w:rPr>
      </w:pPr>
    </w:p>
    <w:p w:rsidR="00DC227A" w:rsidRPr="00DC227A" w:rsidRDefault="00DC227A" w:rsidP="002919A9">
      <w:pPr>
        <w:keepNext/>
        <w:keepLines/>
        <w:spacing w:after="0" w:line="240" w:lineRule="auto"/>
        <w:ind w:left="1416"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 w:eastAsia="x-none"/>
        </w:rPr>
        <w:br w:type="page"/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sectPr w:rsidR="00DC227A" w:rsidRPr="00DC22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DC227A">
        <w:rPr>
          <w:rFonts w:ascii="Arial" w:eastAsia="Times New Roman" w:hAnsi="Arial" w:cs="Arial"/>
          <w:b/>
          <w:szCs w:val="24"/>
        </w:rPr>
        <w:lastRenderedPageBreak/>
        <w:t>ПРОТОКОЛ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sz w:val="24"/>
        </w:rPr>
      </w:pPr>
      <w:r w:rsidRPr="00DC227A">
        <w:rPr>
          <w:rFonts w:ascii="Arial" w:eastAsia="Times New Roman" w:hAnsi="Arial" w:cs="Arial"/>
          <w:caps/>
          <w:sz w:val="24"/>
          <w:szCs w:val="24"/>
        </w:rPr>
        <w:t xml:space="preserve">ЗА ПРОВЕЖДАНЕ НА ЛЕЧЕНИЕ С ЧОВЕШКИ гамаГЛоБУЛИН за интравенозно приложение ПРИ пациенти с имунодефицити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36"/>
          <w:szCs w:val="36"/>
        </w:rPr>
      </w:pPr>
      <w:r w:rsidRPr="00DC227A">
        <w:rPr>
          <w:rFonts w:ascii="Arial" w:eastAsia="Times New Roman" w:hAnsi="Arial" w:cs="Arial"/>
          <w:b/>
        </w:rPr>
        <w:t>ИЗ №:</w:t>
      </w: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DC227A">
        <w:rPr>
          <w:rFonts w:ascii="Times New Roman" w:eastAsia="Times New Roman" w:hAnsi="Times New Roman" w:cs="Times New Roman"/>
          <w:sz w:val="24"/>
          <w:szCs w:val="24"/>
        </w:rPr>
        <w:t>Сериен номер на флакона: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6"/>
        <w:gridCol w:w="1614"/>
        <w:gridCol w:w="1438"/>
      </w:tblGrid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Да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</w:t>
            </w: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Пълна кръвна картина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Кръвна захар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Общ белтък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Серумни електролити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Серумни имуноглобулини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При пациенти с имунодефицит с преобладаващ недостиг на антитела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Преди първа инфузия да се изследват серумни имуноглобулини поради риск от анафилактична реакция при пациенти с дефицит на </w:t>
            </w:r>
            <w:r w:rsidRPr="00DC227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IgA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ПРОТИВОПОКАЗАНИЯ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Алергии към гамаглобулин за интравенозно приложениеи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rPr>
          <w:trHeight w:val="318"/>
        </w:trPr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Селективен ИгА-дефицит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ВЪЗМОЖНИ СТРАНИЧНИ ЕФЕКТИ СЛЕД ТЕРАПИЯ С ЧОВЕШКИ ГАМАГЛОБУЛИН ЗА ИНТРАВЕНОЗНО ПРИЛОЖЕНИЕ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Главоболие, миалгия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Асептични менингити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Анафилаксия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Артериална хипертония, хипергликемия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Потискане на бъбречната дейност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Мозъчна исхемия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Мигрена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Други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НАЧИН НА ПРОВЕЖДАНЕ НА ИНТРАВЕНОЗНАТА ИНФУЗИЯ</w:t>
            </w:r>
          </w:p>
        </w:tc>
      </w:tr>
      <w:tr w:rsidR="00DC227A" w:rsidRPr="00DC227A" w:rsidTr="00080857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Човешкия гамаглобулин за интравенозно приложение се прилага в доза от 0,2-0,6г/кг в продължение на 3 последователни дни на бавна интравенозна инфузия.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  <w:r w:rsidRPr="00DC227A">
        <w:rPr>
          <w:rFonts w:ascii="Arial" w:eastAsia="Times New Roman" w:hAnsi="Arial" w:cs="Arial"/>
          <w:szCs w:val="20"/>
        </w:rPr>
        <w:t>В цената на клиничната пътека</w:t>
      </w:r>
      <w:r w:rsidRPr="00DC227A">
        <w:rPr>
          <w:rFonts w:ascii="Arial" w:eastAsia="Times New Roman" w:hAnsi="Arial" w:cs="Arial"/>
          <w:szCs w:val="20"/>
          <w:lang w:val="ru-RU"/>
        </w:rPr>
        <w:t xml:space="preserve"> е </w:t>
      </w:r>
      <w:r w:rsidRPr="00DC227A">
        <w:rPr>
          <w:rFonts w:ascii="Arial" w:eastAsia="Times New Roman" w:hAnsi="Arial" w:cs="Arial"/>
          <w:szCs w:val="20"/>
        </w:rPr>
        <w:t>разчетено лечение с  гамаглобулин</w:t>
      </w:r>
      <w:r w:rsidR="00340378">
        <w:rPr>
          <w:rFonts w:ascii="Arial" w:eastAsia="Times New Roman" w:hAnsi="Arial" w:cs="Arial"/>
          <w:szCs w:val="20"/>
        </w:rPr>
        <w:t xml:space="preserve"> </w:t>
      </w:r>
      <w:r w:rsidRPr="00DC227A">
        <w:rPr>
          <w:rFonts w:ascii="Arial" w:eastAsia="Times New Roman" w:hAnsi="Arial" w:cs="Arial"/>
          <w:szCs w:val="20"/>
        </w:rPr>
        <w:t xml:space="preserve">(субкутант) за интравенозно приложение, както и с </w:t>
      </w:r>
      <w:r w:rsidRPr="00DC227A">
        <w:rPr>
          <w:rFonts w:ascii="Arial" w:eastAsia="Times New Roman" w:hAnsi="Arial" w:cs="Arial"/>
          <w:color w:val="000000"/>
          <w:szCs w:val="20"/>
        </w:rPr>
        <w:t xml:space="preserve">някои други препарати за заместителна или допълнителна терапия.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t xml:space="preserve">При пациенти с компенсирана бъбречна недостатъчност се препоръчва редукция както на денонощната доза гамаглобулин за интравенозно приложение, така и на скоростта на инфузия на препарата. По този начин може да се избегне възникването на остра бъбречна недостатъчност.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lastRenderedPageBreak/>
        <w:t xml:space="preserve">Гамаглобулините за интравенозно приложение водят до покачване на вискозитета и до повишен плазмен обем. Това може да доведе при пациенти със сърдечна недостатъчност до декомпенсация, или може да провокира развитие на мозъчна исхемия. Затова при болни с риск за съдови инциденти и при такива с криоглобулинемия е целесъобразно проследяване на хематокрит преди провеждане на терапията.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Фишът за лечение с човешки гамаглобулин за интравенозно приложение става неразделна част от ИЗ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color w:val="000000"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Флаконите, употребени при лечението, се съхраняват в клиниката или в отделението </w:t>
      </w:r>
      <w:r w:rsidRPr="00DC227A">
        <w:rPr>
          <w:rFonts w:ascii="Arial" w:eastAsia="Times New Roman" w:hAnsi="Arial" w:cs="Arial"/>
          <w:b/>
          <w:color w:val="000000"/>
          <w:szCs w:val="20"/>
          <w:lang w:val="x-none"/>
        </w:rPr>
        <w:t xml:space="preserve">в рамките на болничния престой на пациента, и подлежат на контрол при провеждане на ОДИТ от страна на НЗОК. </w:t>
      </w:r>
      <w:r w:rsidRPr="00DC227A">
        <w:rPr>
          <w:rFonts w:ascii="Arial" w:eastAsia="Times New Roman" w:hAnsi="Arial" w:cs="Arial"/>
          <w:b/>
          <w:color w:val="000000"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Върху флакона се записва името на пациента и № на ИЗ, а в ИЗ серийният номер на флакона (ите).</w:t>
      </w:r>
      <w:r w:rsidRPr="00DC227A">
        <w:rPr>
          <w:rFonts w:ascii="Arial" w:eastAsia="Times New Roman" w:hAnsi="Arial" w:cs="Arial"/>
          <w:b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Копие от фиша се представя в РЗОК заедно с отчетните документи.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szCs w:val="24"/>
          <w:lang w:eastAsia="bg-BG"/>
        </w:rPr>
      </w:pPr>
      <w:r w:rsidRPr="00DC227A">
        <w:rPr>
          <w:rFonts w:ascii="Arial" w:eastAsia="Times New Roman" w:hAnsi="Arial" w:cs="Arial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/>
          <w:bCs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Cs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DC227A">
        <w:rPr>
          <w:rFonts w:ascii="Arial" w:eastAsia="Times New Roman" w:hAnsi="Arial" w:cs="Arial"/>
          <w:b/>
        </w:rPr>
        <w:t>ИЗ №</w:t>
      </w:r>
      <w:r w:rsidRPr="00DC227A">
        <w:rPr>
          <w:rFonts w:ascii="Arial" w:eastAsia="Times New Roman" w:hAnsi="Arial" w:cs="Arial"/>
          <w:b/>
          <w:sz w:val="28"/>
          <w:szCs w:val="28"/>
        </w:rPr>
        <w:t>:</w:t>
      </w:r>
      <w:r w:rsidRPr="00DC227A">
        <w:rPr>
          <w:rFonts w:ascii="Arial" w:eastAsia="Times New Roman" w:hAnsi="Arial" w:cs="Arial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Лечение с гамаглобулин за интравенозно приложение фабричен № на флакона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Индикации/ контраиндикации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tbl>
      <w:tblPr>
        <w:tblW w:w="104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3"/>
        <w:gridCol w:w="1315"/>
        <w:gridCol w:w="1481"/>
        <w:gridCol w:w="870"/>
        <w:gridCol w:w="1486"/>
        <w:gridCol w:w="1403"/>
        <w:gridCol w:w="1222"/>
        <w:gridCol w:w="1276"/>
      </w:tblGrid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Дата на инфузията</w:t>
            </w: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Фабричен номер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на флакона</w:t>
            </w: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Лекарствен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продукт</w:t>
            </w: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Годен до</w:t>
            </w: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количество</w:t>
            </w: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Начало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7BC58D" wp14:editId="605667F2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-1282700</wp:posOffset>
                      </wp:positionV>
                      <wp:extent cx="0" cy="0"/>
                      <wp:effectExtent l="7620" t="5080" r="11430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-101pt" to="171pt,-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"/>
                  </w:pict>
                </mc:Fallback>
              </mc:AlternateConten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Край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поносимост</w:t>
            </w:r>
          </w:p>
        </w:tc>
      </w:tr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Извършил инфузията : сестра: 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/име, подпис/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лекар: ...........................................................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 /име, подпис/   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  <w:r w:rsidRPr="00DC227A">
        <w:rPr>
          <w:rFonts w:ascii="Arial" w:eastAsia="Times New Roman" w:hAnsi="Arial" w:cs="Arial"/>
          <w:b/>
          <w:color w:val="000000"/>
          <w:szCs w:val="24"/>
        </w:rPr>
        <w:lastRenderedPageBreak/>
        <w:t xml:space="preserve">ПРОТОКОЛ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color w:val="000000"/>
          <w:sz w:val="24"/>
        </w:rPr>
      </w:pPr>
      <w:r w:rsidRPr="00DC227A">
        <w:rPr>
          <w:rFonts w:ascii="Arial" w:eastAsia="Times New Roman" w:hAnsi="Arial" w:cs="Arial"/>
          <w:caps/>
          <w:color w:val="000000"/>
          <w:sz w:val="24"/>
          <w:szCs w:val="24"/>
        </w:rPr>
        <w:t xml:space="preserve">ЗА ПРОВЕЖДАНЕ НА ЛЕЧЕНИЕ Със С1 естеразен инхибитор или антагонист на брадикининов рецептор, за интравенозно или подожно приложение ПРИ пациенти с наследствен ангиоедем </w:t>
      </w: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………………………………………………………………………………………….................</w:t>
      </w:r>
    </w:p>
    <w:p w:rsidR="002120D1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ИЗ №: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5"/>
        <w:gridCol w:w="1615"/>
        <w:gridCol w:w="1438"/>
      </w:tblGrid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</w:t>
            </w: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Пълна кръвна картина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Креатинин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Кръвна захар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Общ белтък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Серумни електролити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Комплементни фракции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При пациенти с наследствен ангиоедем с недостиг или функционално неактивен С1 естеразен инхибитор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ПРОТИВОПОКАЗАНИЯ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Алергии към активната или помощни съставки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ВЪЗМОЖНИ СТРАНИЧНИ ЕФЕКТИ СЛЕД ТЕРАПИЯ </w:t>
            </w: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Със С1 естеразен инхибитор ИЛИ антагонист на брадикининов рецептор, за интравенозно ИЛИ подожно приложение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Анафилаксия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Парене, болка, зачервяване в мястото на инжектиране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Гадене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Мускулна слабост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НАЧИН НА ПРИЛАГАНЕ</w:t>
            </w:r>
          </w:p>
        </w:tc>
      </w:tr>
      <w:tr w:rsidR="00DC227A" w:rsidRPr="00DC227A" w:rsidTr="00080857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340378">
              <w:rPr>
                <w:rFonts w:ascii="Arial" w:eastAsia="Times New Roman" w:hAnsi="Arial" w:cs="Arial"/>
                <w:color w:val="000000"/>
              </w:rPr>
              <w:t xml:space="preserve">С1 естеразният инхибитор се 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прилага еднократно бавно интравенозно в доза 20 </w:t>
            </w:r>
            <w:r w:rsidRPr="00340378">
              <w:rPr>
                <w:rFonts w:ascii="Arial" w:eastAsia="Times New Roman" w:hAnsi="Arial" w:cs="Arial"/>
                <w:color w:val="000000"/>
              </w:rPr>
              <w:t>U/kg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 телесно тегло. </w:t>
            </w:r>
          </w:p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DC227A">
              <w:rPr>
                <w:rFonts w:ascii="Arial" w:eastAsia="Times New Roman" w:hAnsi="Arial" w:cs="Arial"/>
                <w:color w:val="000000"/>
              </w:rPr>
              <w:t xml:space="preserve">Антагонистът на бардикининовия рецептор се прилага в доза </w:t>
            </w:r>
            <w:r w:rsidRPr="00340378">
              <w:rPr>
                <w:rFonts w:ascii="Arial" w:eastAsia="Times New Roman" w:hAnsi="Arial" w:cs="Arial"/>
                <w:color w:val="000000"/>
              </w:rPr>
              <w:t>30 mg еднократно подкожно, за предпочитане в коремната стена. Следващата инжекция може да се постави след шест часа, но не повече от три инжекции за 24 часа.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FF0000"/>
          <w:szCs w:val="20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color w:val="000000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……………………………………………………………………………………….....................</w:t>
      </w: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/>
          <w:bCs/>
          <w:color w:val="000000"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C227A">
        <w:rPr>
          <w:rFonts w:ascii="Arial" w:eastAsia="Times New Roman" w:hAnsi="Arial" w:cs="Arial"/>
          <w:b/>
          <w:color w:val="000000"/>
        </w:rPr>
        <w:t>ИЗ №</w:t>
      </w:r>
      <w:r w:rsidRPr="00DC227A">
        <w:rPr>
          <w:rFonts w:ascii="Arial" w:eastAsia="Times New Roman" w:hAnsi="Arial" w:cs="Arial"/>
          <w:b/>
          <w:color w:val="000000"/>
          <w:sz w:val="28"/>
          <w:szCs w:val="28"/>
        </w:rPr>
        <w:t>:</w:t>
      </w:r>
      <w:r w:rsidRPr="00DC227A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DC227A" w:rsidRPr="00DC227A" w:rsidTr="00080857">
        <w:trPr>
          <w:jc w:val="center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ЛЕЧЕНИЕ СЪС С1 ЕСЕТРАЗЕН ИНХИБИТОР ЗА ИНТРАВЕНОЗНО ПРИЛОЖЕНИЕ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ИЛИ С АНТАГОНИСТ НА БРАДИКИНИНОВ РЕЦЕПТОР ЗА ПОДКОЖНО ПРИЛОЖЕНИЕ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фабричен № на флакона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u-RU" w:eastAsia="bg-BG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.................................................</w:t>
            </w:r>
          </w:p>
        </w:tc>
      </w:tr>
      <w:tr w:rsidR="00DC227A" w:rsidRPr="00DC227A" w:rsidTr="00080857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Индикации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Контраиндикации </w:t>
            </w:r>
          </w:p>
        </w:tc>
      </w:tr>
      <w:tr w:rsidR="00DC227A" w:rsidRPr="00DC227A" w:rsidTr="00080857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080857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080857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080857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</w:t>
      </w:r>
    </w:p>
    <w:p w:rsidR="002919A9" w:rsidRDefault="002919A9"/>
    <w:p w:rsidR="002919A9" w:rsidRDefault="002919A9">
      <w:r>
        <w:br w:type="page"/>
      </w:r>
    </w:p>
    <w:p w:rsidR="002919A9" w:rsidRPr="00DC227A" w:rsidRDefault="002919A9" w:rsidP="002919A9">
      <w:pPr>
        <w:keepNext/>
        <w:keepLines/>
        <w:tabs>
          <w:tab w:val="left" w:pos="6521"/>
          <w:tab w:val="left" w:pos="7088"/>
        </w:tabs>
        <w:spacing w:after="0" w:line="240" w:lineRule="auto"/>
        <w:ind w:left="1416" w:firstLine="567"/>
        <w:jc w:val="both"/>
        <w:rPr>
          <w:rFonts w:ascii="Arial" w:eastAsia="Times New Roman" w:hAnsi="Arial" w:cs="Arial"/>
          <w:b/>
          <w:lang w:val="ru-RU" w:eastAsia="x-none"/>
        </w:rPr>
      </w:pPr>
      <w:r w:rsidRPr="00DC227A">
        <w:rPr>
          <w:rFonts w:ascii="Arial" w:eastAsia="Times New Roman" w:hAnsi="Arial" w:cs="Arial"/>
          <w:lang w:val="x-none" w:eastAsia="x-none"/>
        </w:rPr>
        <w:lastRenderedPageBreak/>
        <w:t xml:space="preserve">                                                          </w:t>
      </w:r>
      <w:r>
        <w:rPr>
          <w:rFonts w:ascii="Arial" w:eastAsia="Times New Roman" w:hAnsi="Arial" w:cs="Arial"/>
          <w:lang w:val="x-none" w:eastAsia="x-none"/>
        </w:rPr>
        <w:t xml:space="preserve">                            </w:t>
      </w:r>
      <w:r w:rsidRPr="00DC227A">
        <w:rPr>
          <w:rFonts w:ascii="Arial" w:eastAsia="Times New Roman" w:hAnsi="Arial" w:cs="Arial"/>
          <w:lang w:val="x-none" w:eastAsia="x-none"/>
        </w:rPr>
        <w:t xml:space="preserve"> </w:t>
      </w:r>
      <w:r w:rsidRPr="00DC227A">
        <w:rPr>
          <w:rFonts w:ascii="Arial" w:eastAsia="Times New Roman" w:hAnsi="Arial" w:cs="Arial"/>
          <w:b/>
          <w:lang w:val="ru-RU" w:eastAsia="x-none"/>
        </w:rPr>
        <w:t>ДОКУМЕНТ № 4</w:t>
      </w:r>
    </w:p>
    <w:p w:rsidR="002919A9" w:rsidRPr="00DC227A" w:rsidRDefault="002919A9" w:rsidP="002919A9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lang w:val="ru-RU"/>
        </w:rPr>
      </w:pPr>
      <w:r w:rsidRPr="00DC227A">
        <w:rPr>
          <w:rFonts w:ascii="Arial" w:eastAsia="Times New Roman" w:hAnsi="Arial" w:cs="Arial"/>
          <w:b/>
          <w:caps/>
          <w:lang w:val="ru-RU"/>
        </w:rPr>
        <w:t>ИНФОРМАЦИЯ ЗА ПАЦИЕНТА (</w:t>
      </w:r>
      <w:r w:rsidR="00EF362B">
        <w:rPr>
          <w:rFonts w:ascii="Arial" w:eastAsia="Times New Roman" w:hAnsi="Arial" w:cs="Arial"/>
          <w:b/>
          <w:caps/>
          <w:lang w:val="ru-RU"/>
        </w:rPr>
        <w:t>ПОПЕЧ</w:t>
      </w:r>
      <w:bookmarkStart w:id="0" w:name="_GoBack"/>
      <w:bookmarkEnd w:id="0"/>
      <w:r w:rsidRPr="00DC227A">
        <w:rPr>
          <w:rFonts w:ascii="Arial" w:eastAsia="Times New Roman" w:hAnsi="Arial" w:cs="Arial"/>
          <w:b/>
          <w:caps/>
          <w:lang w:val="ru-RU"/>
        </w:rPr>
        <w:t>ителя/настойника)</w:t>
      </w: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u w:val="single"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Имунодефицитите са раз</w:t>
      </w:r>
      <w:r w:rsidR="0070136B">
        <w:rPr>
          <w:rFonts w:ascii="Arial" w:eastAsia="Times New Roman" w:hAnsi="Arial" w:cs="Arial"/>
          <w:bCs/>
          <w:lang w:val="ru-RU"/>
        </w:rPr>
        <w:t>нородна група заболявания. Най-</w:t>
      </w:r>
      <w:r w:rsidRPr="00DC227A">
        <w:rPr>
          <w:rFonts w:ascii="Arial" w:eastAsia="Times New Roman" w:hAnsi="Arial" w:cs="Arial"/>
          <w:bCs/>
          <w:lang w:val="ru-RU"/>
        </w:rPr>
        <w:t>общо те се класифицират в пет основни групи</w:t>
      </w:r>
      <w:r w:rsidRPr="00DC227A">
        <w:rPr>
          <w:rFonts w:ascii="Arial" w:eastAsia="Times New Roman" w:hAnsi="Arial" w:cs="Arial"/>
          <w:b/>
          <w:bCs/>
          <w:lang w:val="ru-RU"/>
        </w:rPr>
        <w:t>:</w:t>
      </w:r>
      <w:r w:rsidRPr="00DC227A">
        <w:rPr>
          <w:rFonts w:ascii="Arial" w:eastAsia="Times New Roman" w:hAnsi="Arial" w:cs="Arial"/>
          <w:lang w:val="ru-RU"/>
        </w:rPr>
        <w:t xml:space="preserve"> В-клетъчни имунни дефицити, комбинирани имунни дефицити, други добре дефинирани синдроми с имунен дефицит, фагоцитна дисфункция и дефицит на комплемента. Общите прояви на ИД включват липсващ или намален в различна степен имунен отговор при бактериални, вирусни, гъбични и паразитни инфекции. Типовете инфекции, които възникват дават важна насока върху типа на имунодефицитното заболяване, което се развива. </w:t>
      </w: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Първичните имунодефицитни заболявания (ПИД)</w:t>
      </w:r>
      <w:r w:rsidRPr="00DC227A">
        <w:rPr>
          <w:rFonts w:ascii="Arial" w:eastAsia="Times New Roman" w:hAnsi="Arial" w:cs="Arial"/>
          <w:b/>
          <w:bCs/>
          <w:lang w:val="ru-RU"/>
        </w:rPr>
        <w:t xml:space="preserve"> </w:t>
      </w:r>
      <w:r w:rsidRPr="00DC227A">
        <w:rPr>
          <w:rFonts w:ascii="Arial" w:eastAsia="Times New Roman" w:hAnsi="Arial" w:cs="Arial"/>
          <w:lang w:val="ru-RU"/>
        </w:rPr>
        <w:t xml:space="preserve">са хетерогенна група и се дължат на дефекти в гените свързани с имунната защита. Досега са описани над 100 ПИД като броят им непрекъснато нараства. </w:t>
      </w:r>
      <w:r w:rsidRPr="00DC227A">
        <w:rPr>
          <w:rFonts w:ascii="Arial" w:eastAsia="Times New Roman" w:hAnsi="Arial" w:cs="Arial"/>
          <w:color w:val="000000"/>
          <w:lang w:val="ru-RU"/>
        </w:rPr>
        <w:t>Счита се, че около 500 души на 1 милион население, са пациенти с ИД, които се нуждаят от лекарско наблюдение и медицински грижи.</w:t>
      </w:r>
    </w:p>
    <w:p w:rsidR="002919A9" w:rsidRPr="00DC227A" w:rsidRDefault="002919A9" w:rsidP="002919A9">
      <w:pPr>
        <w:keepNext/>
        <w:keepLines/>
        <w:tabs>
          <w:tab w:val="left" w:pos="4248"/>
        </w:tabs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Вторичните /придобитите/ имунодефицитни състояния представляват нарушения на хуморалния и/или клетъчно-свързания имунитет с разнообразна етиология и настъпващи по различни механизми. Основно правило при тях е да се търси и лекува етиологичния фактор, довел до имунодефицитното състояние. Най-чести причини за поява на вторичните ИД са: вирусни инфекции, метаболитни нарушения, хемоглобинопатии, хронични инфекции, хранителен дефицит, лекарствено привикване, лъчетерапия, имуносупресивна терапия, злокачествени новообразувания, алкохолизъм на майката, състояния със загуба на белтък (ентеропатия, тежки изгаряния)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lang w:eastAsia="bg-BG"/>
        </w:rPr>
      </w:pPr>
      <w:r w:rsidRPr="00DC227A">
        <w:rPr>
          <w:rFonts w:ascii="Arial" w:eastAsia="Times New Roman" w:hAnsi="Arial" w:cs="Arial"/>
          <w:b/>
          <w:bCs/>
          <w:lang w:val="ru-RU"/>
        </w:rPr>
        <w:t>Клинични белези (симптоми), свързани с имунодефицитите:</w:t>
      </w:r>
      <w:r w:rsidRPr="00DC227A">
        <w:rPr>
          <w:rFonts w:ascii="Arial" w:eastAsia="Times New Roman" w:hAnsi="Arial" w:cs="Arial"/>
          <w:b/>
          <w:lang w:val="ru-RU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силно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Хронична инфекция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инфекции (повече от очакваното)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Необикновени (редки) микробни причинители или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опортюнистични инфекции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Непълно възстановяване между епизодите на инфекция или непълен отговор към лечението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умерено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Кожни лезии (екзема, кожна кандида, обрив, себорея, алопеция и др.)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Хронична диария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Изоставане в  растежа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Хепатоспленомегалия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Хематологични нарушения (левкопения, анормална мофология)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абсцеси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 се остеомиелит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Данни за автоимунитет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b/>
          <w:i/>
          <w:color w:val="000000"/>
          <w:lang w:eastAsia="bg-BG"/>
        </w:rPr>
        <w:t>Други симптоми</w:t>
      </w: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color w:val="000000"/>
          <w:lang w:val="ru-RU"/>
        </w:rPr>
        <w:t>При наследствения ангиоедем обичайна проява са периодичните пристъпи на несърбящи подкожни отоци, които обхващат горните дихателни пътища, кожата и стомашно-чревния тракт.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 xml:space="preserve">Диагнозата на имунодефицитните състояния </w:t>
      </w:r>
      <w:r w:rsidRPr="00DC227A">
        <w:rPr>
          <w:rFonts w:ascii="Arial" w:eastAsia="Times New Roman" w:hAnsi="Arial" w:cs="Arial"/>
          <w:lang w:val="ru-RU"/>
        </w:rPr>
        <w:t>се извършва на два етапа: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1.   Начален имунологичен скрининг за първична оценка на имунния отговор.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2.  Специализирани имунологични изследвания с оглед етиологично уточняване, стадиране и определяне на терапевтичен подход </w:t>
      </w:r>
      <w:r w:rsidRPr="00DC227A">
        <w:rPr>
          <w:rFonts w:ascii="Arial" w:eastAsia="Times New Roman" w:hAnsi="Arial" w:cs="Arial"/>
          <w:lang w:val="ru-RU"/>
        </w:rPr>
        <w:t xml:space="preserve">за провеждане на </w:t>
      </w:r>
      <w:r w:rsidRPr="00DC227A">
        <w:rPr>
          <w:rFonts w:ascii="Arial" w:eastAsia="Times New Roman" w:hAnsi="Arial" w:cs="Arial"/>
          <w:lang w:val="x-none"/>
        </w:rPr>
        <w:t>заместителна терапия с интравенозен гамаглобулин и/или терапия с парентерални и орални имуномодулатори.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Лечение на ПИД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>1. Основни категории терапия: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Интравенозен човешки имуноглобулин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 Човешки имуноглобулин за подкожен път на въвеждане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Концентриран С1 естеразен инхибитор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Профилактика с </w:t>
      </w:r>
      <w:proofErr w:type="spellStart"/>
      <w:r w:rsidRPr="00DC227A">
        <w:rPr>
          <w:rFonts w:ascii="Arial" w:eastAsia="Times New Roman" w:hAnsi="Arial" w:cs="Arial"/>
          <w:lang w:val="en-US"/>
        </w:rPr>
        <w:t>Danazol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Антибиотична профилактика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Трансплантация на хемопоетични стволови клетки 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Генна терапия ( стадий на клинични проучвания)</w:t>
      </w:r>
    </w:p>
    <w:p w:rsidR="002919A9" w:rsidRPr="00DC227A" w:rsidRDefault="002919A9" w:rsidP="002919A9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en-US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2. Други медикаменти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глюкокортикостероиди 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други терапевтични средства с имуностимулиращ ефект – интерферон-гама, </w:t>
      </w:r>
      <w:r w:rsidRPr="00DC227A">
        <w:rPr>
          <w:rFonts w:ascii="Arial" w:eastAsia="Times New Roman" w:hAnsi="Arial" w:cs="Arial"/>
          <w:lang w:val="x-none"/>
        </w:rPr>
        <w:tab/>
        <w:t>колонистимулиращ фактор и други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антибактериална терапия 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патогенетични и симптоматични средства: при нужда вливания на глюкозо-солеви </w:t>
      </w:r>
      <w:r w:rsidRPr="00DC227A">
        <w:rPr>
          <w:rFonts w:ascii="Arial" w:eastAsia="Times New Roman" w:hAnsi="Arial" w:cs="Arial"/>
          <w:lang w:val="x-none"/>
        </w:rPr>
        <w:tab/>
        <w:t xml:space="preserve">разтвори, кардиотоници, витамини, антипиретици, прясно замразена плазма или свежа кръв, </w:t>
      </w:r>
      <w:r w:rsidRPr="00DC227A">
        <w:rPr>
          <w:rFonts w:ascii="Arial" w:eastAsia="Times New Roman" w:hAnsi="Arial" w:cs="Arial"/>
          <w:lang w:val="x-none"/>
        </w:rPr>
        <w:tab/>
        <w:t>атенюирани андрогени, антифибринолитици  и др.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● противогъбична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● противовирусна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lang w:val="x-none"/>
        </w:rPr>
      </w:pPr>
    </w:p>
    <w:p w:rsidR="00DC227A" w:rsidRDefault="00DC227A"/>
    <w:sectPr w:rsidR="00DC2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C2C"/>
    <w:multiLevelType w:val="hybridMultilevel"/>
    <w:tmpl w:val="A69C4C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DF2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07BE"/>
    <w:multiLevelType w:val="hybridMultilevel"/>
    <w:tmpl w:val="7B50247E"/>
    <w:lvl w:ilvl="0" w:tplc="9F0AC6F0">
      <w:start w:val="3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0ED35B05"/>
    <w:multiLevelType w:val="hybridMultilevel"/>
    <w:tmpl w:val="C450AD84"/>
    <w:lvl w:ilvl="0" w:tplc="6624DE10">
      <w:start w:val="2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112D0C1A"/>
    <w:multiLevelType w:val="hybridMultilevel"/>
    <w:tmpl w:val="C590B1DC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1C8556A3"/>
    <w:multiLevelType w:val="hybridMultilevel"/>
    <w:tmpl w:val="E06AF67C"/>
    <w:lvl w:ilvl="0" w:tplc="FA2067F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F8157CF"/>
    <w:multiLevelType w:val="hybridMultilevel"/>
    <w:tmpl w:val="098CB124"/>
    <w:lvl w:ilvl="0" w:tplc="4D3A3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20471B"/>
    <w:multiLevelType w:val="hybridMultilevel"/>
    <w:tmpl w:val="1FEC2C54"/>
    <w:lvl w:ilvl="0" w:tplc="04090001">
      <w:start w:val="1"/>
      <w:numFmt w:val="bullet"/>
      <w:lvlText w:val=""/>
      <w:lvlJc w:val="left"/>
      <w:pPr>
        <w:tabs>
          <w:tab w:val="num" w:pos="1965"/>
        </w:tabs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7">
    <w:nsid w:val="24A220A7"/>
    <w:multiLevelType w:val="hybridMultilevel"/>
    <w:tmpl w:val="99C8326A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>
    <w:nsid w:val="27D9783A"/>
    <w:multiLevelType w:val="hybridMultilevel"/>
    <w:tmpl w:val="BA5CF4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B76C1"/>
    <w:multiLevelType w:val="multilevel"/>
    <w:tmpl w:val="238294C2"/>
    <w:lvl w:ilvl="0">
      <w:start w:val="8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0">
    <w:nsid w:val="2E0D5871"/>
    <w:multiLevelType w:val="hybridMultilevel"/>
    <w:tmpl w:val="66A890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4C052E"/>
    <w:multiLevelType w:val="hybridMultilevel"/>
    <w:tmpl w:val="C6A8D2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539C1"/>
    <w:multiLevelType w:val="multilevel"/>
    <w:tmpl w:val="A0CC4DDE"/>
    <w:lvl w:ilvl="0">
      <w:start w:val="99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615"/>
        </w:tabs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3">
    <w:nsid w:val="3A7E20E1"/>
    <w:multiLevelType w:val="hybridMultilevel"/>
    <w:tmpl w:val="B55C437C"/>
    <w:lvl w:ilvl="0" w:tplc="4ED6B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A85A6">
      <w:numFmt w:val="none"/>
      <w:lvlText w:val=""/>
      <w:lvlJc w:val="left"/>
      <w:pPr>
        <w:tabs>
          <w:tab w:val="num" w:pos="360"/>
        </w:tabs>
      </w:pPr>
    </w:lvl>
    <w:lvl w:ilvl="2" w:tplc="968C11D0">
      <w:numFmt w:val="none"/>
      <w:lvlText w:val=""/>
      <w:lvlJc w:val="left"/>
      <w:pPr>
        <w:tabs>
          <w:tab w:val="num" w:pos="360"/>
        </w:tabs>
      </w:pPr>
    </w:lvl>
    <w:lvl w:ilvl="3" w:tplc="DA1888C6">
      <w:numFmt w:val="none"/>
      <w:lvlText w:val=""/>
      <w:lvlJc w:val="left"/>
      <w:pPr>
        <w:tabs>
          <w:tab w:val="num" w:pos="360"/>
        </w:tabs>
      </w:pPr>
    </w:lvl>
    <w:lvl w:ilvl="4" w:tplc="9C18AA86">
      <w:numFmt w:val="none"/>
      <w:lvlText w:val=""/>
      <w:lvlJc w:val="left"/>
      <w:pPr>
        <w:tabs>
          <w:tab w:val="num" w:pos="360"/>
        </w:tabs>
      </w:pPr>
    </w:lvl>
    <w:lvl w:ilvl="5" w:tplc="67AEEF0A">
      <w:numFmt w:val="none"/>
      <w:lvlText w:val=""/>
      <w:lvlJc w:val="left"/>
      <w:pPr>
        <w:tabs>
          <w:tab w:val="num" w:pos="360"/>
        </w:tabs>
      </w:pPr>
    </w:lvl>
    <w:lvl w:ilvl="6" w:tplc="026C415E">
      <w:numFmt w:val="none"/>
      <w:lvlText w:val=""/>
      <w:lvlJc w:val="left"/>
      <w:pPr>
        <w:tabs>
          <w:tab w:val="num" w:pos="360"/>
        </w:tabs>
      </w:pPr>
    </w:lvl>
    <w:lvl w:ilvl="7" w:tplc="225EC458">
      <w:numFmt w:val="none"/>
      <w:lvlText w:val=""/>
      <w:lvlJc w:val="left"/>
      <w:pPr>
        <w:tabs>
          <w:tab w:val="num" w:pos="360"/>
        </w:tabs>
      </w:pPr>
    </w:lvl>
    <w:lvl w:ilvl="8" w:tplc="01F2EE6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CA12CEB"/>
    <w:multiLevelType w:val="multilevel"/>
    <w:tmpl w:val="CECC1644"/>
    <w:lvl w:ilvl="0">
      <w:start w:val="9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5">
    <w:nsid w:val="3D202BD1"/>
    <w:multiLevelType w:val="hybridMultilevel"/>
    <w:tmpl w:val="6DB2CF06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6">
    <w:nsid w:val="4D7010F6"/>
    <w:multiLevelType w:val="hybridMultilevel"/>
    <w:tmpl w:val="B602F2EC"/>
    <w:lvl w:ilvl="0" w:tplc="0402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E2D6742"/>
    <w:multiLevelType w:val="hybridMultilevel"/>
    <w:tmpl w:val="CD4A4F0A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8">
    <w:nsid w:val="50E11A56"/>
    <w:multiLevelType w:val="hybridMultilevel"/>
    <w:tmpl w:val="35986BCA"/>
    <w:lvl w:ilvl="0" w:tplc="8728B1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6262BB"/>
    <w:multiLevelType w:val="hybridMultilevel"/>
    <w:tmpl w:val="84AC524A"/>
    <w:lvl w:ilvl="0" w:tplc="42DEB126">
      <w:start w:val="3"/>
      <w:numFmt w:val="bullet"/>
      <w:lvlText w:val="-"/>
      <w:lvlJc w:val="left"/>
      <w:pPr>
        <w:ind w:left="157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>
    <w:nsid w:val="5D40382D"/>
    <w:multiLevelType w:val="hybridMultilevel"/>
    <w:tmpl w:val="A1141FBE"/>
    <w:lvl w:ilvl="0" w:tplc="040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03D4C97"/>
    <w:multiLevelType w:val="multilevel"/>
    <w:tmpl w:val="5B9012C4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2">
    <w:nsid w:val="633D6087"/>
    <w:multiLevelType w:val="hybridMultilevel"/>
    <w:tmpl w:val="B9CA12B8"/>
    <w:lvl w:ilvl="0" w:tplc="EF5A0810">
      <w:start w:val="3"/>
      <w:numFmt w:val="upperRoman"/>
      <w:lvlText w:val="%1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3CE2545"/>
    <w:multiLevelType w:val="hybridMultilevel"/>
    <w:tmpl w:val="E3DA9FB2"/>
    <w:lvl w:ilvl="0" w:tplc="9B405DE8"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>
    <w:nsid w:val="652C1BF4"/>
    <w:multiLevelType w:val="hybridMultilevel"/>
    <w:tmpl w:val="2B9C7194"/>
    <w:lvl w:ilvl="0" w:tplc="3E5EF0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554E6"/>
    <w:multiLevelType w:val="hybridMultilevel"/>
    <w:tmpl w:val="6EF4F6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7358A7"/>
    <w:multiLevelType w:val="hybridMultilevel"/>
    <w:tmpl w:val="A75ABD1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7DE5165B"/>
    <w:multiLevelType w:val="hybridMultilevel"/>
    <w:tmpl w:val="AAC6E5FE"/>
    <w:lvl w:ilvl="0" w:tplc="FA2067F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25"/>
  </w:num>
  <w:num w:numId="11">
    <w:abstractNumId w:val="7"/>
  </w:num>
  <w:num w:numId="12">
    <w:abstractNumId w:val="26"/>
  </w:num>
  <w:num w:numId="13">
    <w:abstractNumId w:val="24"/>
  </w:num>
  <w:num w:numId="14">
    <w:abstractNumId w:val="21"/>
  </w:num>
  <w:num w:numId="15">
    <w:abstractNumId w:val="3"/>
  </w:num>
  <w:num w:numId="16">
    <w:abstractNumId w:val="0"/>
  </w:num>
  <w:num w:numId="17">
    <w:abstractNumId w:val="13"/>
  </w:num>
  <w:num w:numId="18">
    <w:abstractNumId w:val="22"/>
  </w:num>
  <w:num w:numId="19">
    <w:abstractNumId w:val="11"/>
  </w:num>
  <w:num w:numId="20">
    <w:abstractNumId w:val="10"/>
  </w:num>
  <w:num w:numId="21">
    <w:abstractNumId w:val="27"/>
  </w:num>
  <w:num w:numId="22">
    <w:abstractNumId w:val="23"/>
  </w:num>
  <w:num w:numId="23">
    <w:abstractNumId w:val="8"/>
  </w:num>
  <w:num w:numId="24">
    <w:abstractNumId w:val="5"/>
  </w:num>
  <w:num w:numId="25">
    <w:abstractNumId w:val="18"/>
  </w:num>
  <w:num w:numId="26">
    <w:abstractNumId w:val="2"/>
  </w:num>
  <w:num w:numId="27">
    <w:abstractNumId w:val="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4E"/>
    <w:rsid w:val="000361C2"/>
    <w:rsid w:val="0007679D"/>
    <w:rsid w:val="00191562"/>
    <w:rsid w:val="001A0777"/>
    <w:rsid w:val="001A7ED9"/>
    <w:rsid w:val="001F0395"/>
    <w:rsid w:val="002120D1"/>
    <w:rsid w:val="002919A9"/>
    <w:rsid w:val="002B6F28"/>
    <w:rsid w:val="00340378"/>
    <w:rsid w:val="0036115B"/>
    <w:rsid w:val="003C339C"/>
    <w:rsid w:val="004E634E"/>
    <w:rsid w:val="00526340"/>
    <w:rsid w:val="0070136B"/>
    <w:rsid w:val="00922388"/>
    <w:rsid w:val="00940DEF"/>
    <w:rsid w:val="009D3CED"/>
    <w:rsid w:val="00A6025A"/>
    <w:rsid w:val="00AB1AB8"/>
    <w:rsid w:val="00DC227A"/>
    <w:rsid w:val="00EB1FF5"/>
    <w:rsid w:val="00EF362B"/>
    <w:rsid w:val="00F030C7"/>
    <w:rsid w:val="00F807E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4884</Words>
  <Characters>27840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Момчил Енчев Енчев</cp:lastModifiedBy>
  <cp:revision>3</cp:revision>
  <cp:lastPrinted>2018-02-22T14:12:00Z</cp:lastPrinted>
  <dcterms:created xsi:type="dcterms:W3CDTF">2019-05-17T08:36:00Z</dcterms:created>
  <dcterms:modified xsi:type="dcterms:W3CDTF">2019-05-17T08:43:00Z</dcterms:modified>
</cp:coreProperties>
</file>