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BB7" w:rsidRPr="00165318" w:rsidRDefault="00FA0BB7" w:rsidP="00FA0BB7">
      <w:pPr>
        <w:pStyle w:val="chast"/>
        <w:widowControl w:val="0"/>
        <w:rPr>
          <w:rFonts w:cs="Arial"/>
          <w:snapToGrid w:val="0"/>
          <w:sz w:val="22"/>
          <w:szCs w:val="22"/>
          <w:lang w:val="ru-RU"/>
        </w:rPr>
      </w:pPr>
      <w:r w:rsidRPr="00165318">
        <w:rPr>
          <w:rFonts w:cs="Arial"/>
          <w:noProof/>
          <w:snapToGrid w:val="0"/>
          <w:sz w:val="22"/>
          <w:szCs w:val="22"/>
          <w:lang w:val="bg-BG"/>
        </w:rPr>
        <w:t xml:space="preserve">КП № </w:t>
      </w:r>
      <w:r w:rsidRPr="00165318">
        <w:rPr>
          <w:rFonts w:cs="Arial"/>
          <w:noProof/>
          <w:snapToGrid w:val="0"/>
          <w:sz w:val="22"/>
          <w:szCs w:val="22"/>
          <w:lang w:val="ru-RU"/>
        </w:rPr>
        <w:t>258</w:t>
      </w:r>
      <w:r w:rsidRPr="00165318">
        <w:rPr>
          <w:rFonts w:cs="Arial"/>
          <w:noProof/>
          <w:snapToGrid w:val="0"/>
          <w:sz w:val="22"/>
          <w:szCs w:val="22"/>
          <w:lang w:val="bg-BG"/>
        </w:rPr>
        <w:t xml:space="preserve"> </w:t>
      </w:r>
      <w:r w:rsidRPr="00165318">
        <w:rPr>
          <w:rFonts w:cs="Arial"/>
          <w:snapToGrid w:val="0"/>
          <w:sz w:val="22"/>
          <w:szCs w:val="22"/>
          <w:lang w:val="ru-RU"/>
        </w:rPr>
        <w:t>ФизиКАЛНА т</w:t>
      </w:r>
      <w:r w:rsidRPr="00165318">
        <w:rPr>
          <w:rFonts w:cs="Arial"/>
          <w:snapToGrid w:val="0"/>
          <w:sz w:val="22"/>
          <w:szCs w:val="22"/>
          <w:lang w:val="en-US"/>
        </w:rPr>
        <w:t>E</w:t>
      </w:r>
      <w:r w:rsidRPr="00165318">
        <w:rPr>
          <w:rFonts w:cs="Arial"/>
          <w:snapToGrid w:val="0"/>
          <w:sz w:val="22"/>
          <w:szCs w:val="22"/>
          <w:lang w:val="ru-RU"/>
        </w:rPr>
        <w:t>рапия и рехабилитация при родова травма на централна нервна система</w:t>
      </w:r>
    </w:p>
    <w:p w:rsidR="00704427" w:rsidRDefault="00704427" w:rsidP="00704427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4"/>
        </w:rPr>
      </w:pPr>
      <w:r>
        <w:rPr>
          <w:noProof/>
          <w:sz w:val="24"/>
        </w:rPr>
        <w:t>Б</w:t>
      </w:r>
      <w:r>
        <w:rPr>
          <w:noProof/>
          <w:sz w:val="24"/>
          <w:lang w:val="ru-RU"/>
        </w:rPr>
        <w:t xml:space="preserve">олничен престой </w:t>
      </w:r>
      <w:r w:rsidR="00B744D3">
        <w:rPr>
          <w:noProof/>
          <w:sz w:val="24"/>
          <w:lang w:val="en-US"/>
        </w:rPr>
        <w:t>-</w:t>
      </w:r>
      <w:r>
        <w:rPr>
          <w:noProof/>
          <w:sz w:val="24"/>
          <w:lang w:val="ru-RU"/>
        </w:rPr>
        <w:t xml:space="preserve"> </w:t>
      </w:r>
      <w:r>
        <w:rPr>
          <w:noProof/>
          <w:sz w:val="24"/>
        </w:rPr>
        <w:t>10</w:t>
      </w:r>
      <w:r>
        <w:rPr>
          <w:noProof/>
          <w:sz w:val="24"/>
          <w:lang w:val="ru-RU"/>
        </w:rPr>
        <w:t xml:space="preserve"> </w:t>
      </w:r>
      <w:r>
        <w:rPr>
          <w:noProof/>
          <w:sz w:val="24"/>
        </w:rPr>
        <w:t>дни</w:t>
      </w:r>
    </w:p>
    <w:p w:rsidR="00FA0BB7" w:rsidRPr="00165318" w:rsidRDefault="00FA0BB7" w:rsidP="00FA0BB7">
      <w:pPr>
        <w:pStyle w:val="BodyChar"/>
        <w:widowControl w:val="0"/>
        <w:ind w:firstLine="0"/>
        <w:jc w:val="center"/>
        <w:rPr>
          <w:rFonts w:cs="Arial"/>
          <w:szCs w:val="22"/>
          <w:lang w:val="ru-RU"/>
        </w:rPr>
      </w:pPr>
    </w:p>
    <w:p w:rsidR="00FA0BB7" w:rsidRPr="00165318" w:rsidRDefault="00FA0BB7" w:rsidP="00FA0BB7">
      <w:pPr>
        <w:pStyle w:val="Body"/>
        <w:spacing w:before="0"/>
        <w:ind w:firstLine="54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FA0BB7" w:rsidRPr="00165318" w:rsidTr="00E56630">
        <w:trPr>
          <w:jc w:val="center"/>
        </w:trPr>
        <w:tc>
          <w:tcPr>
            <w:tcW w:w="9519" w:type="dxa"/>
          </w:tcPr>
          <w:p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</w:pPr>
          </w:p>
          <w:p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FA0BB7" w:rsidRPr="00165318" w:rsidRDefault="00FA0BB7" w:rsidP="00E56630">
            <w:pPr>
              <w:pStyle w:val="incl"/>
              <w:ind w:hanging="258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консултации (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70—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71)</w:t>
            </w:r>
          </w:p>
          <w:p w:rsidR="00FA0BB7" w:rsidRPr="00165318" w:rsidRDefault="00FA0BB7" w:rsidP="00E56630">
            <w:pPr>
              <w:pStyle w:val="num2"/>
              <w:ind w:hanging="84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</w:rPr>
              <w:t>Z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>50.8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FA0BB7" w:rsidRPr="00165318" w:rsidRDefault="00FA0BB7" w:rsidP="00E56630">
            <w:pPr>
              <w:pStyle w:val="text"/>
              <w:ind w:hanging="844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  <w:t>Обучение за начини на самообслужване, НКД</w:t>
            </w:r>
          </w:p>
          <w:p w:rsidR="00FA0BB7" w:rsidRPr="00165318" w:rsidRDefault="00FA0BB7" w:rsidP="00E56630">
            <w:pPr>
              <w:ind w:firstLine="373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F 82   Специфично разстройство в развитието на двигателните функции.</w:t>
            </w:r>
          </w:p>
          <w:p w:rsidR="00FA0BB7" w:rsidRPr="00165318" w:rsidRDefault="00FA0BB7" w:rsidP="00E56630">
            <w:pPr>
              <w:pStyle w:val="Heading1"/>
              <w:keepNext w:val="0"/>
              <w:rPr>
                <w:rFonts w:cs="Arial"/>
                <w:b/>
                <w:bCs/>
                <w:sz w:val="22"/>
                <w:szCs w:val="22"/>
                <w:lang w:val="bg-BG"/>
              </w:rPr>
            </w:pP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Вътречерепно разкъсване и кръвоизлив, причинени от родова травма </w:t>
            </w:r>
          </w:p>
          <w:p w:rsidR="00FA0BB7" w:rsidRPr="00165318" w:rsidRDefault="00FA0BB7" w:rsidP="00E56630">
            <w:pPr>
              <w:pStyle w:val="incl"/>
              <w:ind w:hanging="26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 на плода и новороденото: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БДУ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52.9)</w:t>
            </w:r>
          </w:p>
          <w:p w:rsidR="00FA0BB7" w:rsidRPr="00165318" w:rsidRDefault="00FA0BB7" w:rsidP="00E56630">
            <w:pPr>
              <w:pStyle w:val="inclpt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 xml:space="preserve">обусловен от аноксия или хипоксия </w:t>
            </w:r>
            <w:r w:rsidRPr="00165318">
              <w:rPr>
                <w:rFonts w:ascii="Arial" w:hAnsi="Arial" w:cs="Arial"/>
                <w:spacing w:val="-35"/>
                <w:lang w:val="ru-RU"/>
              </w:rPr>
              <w:br/>
              <w:t>(Р52.—)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Субдурален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хематом (локализиран)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</w:r>
            <w:r w:rsidRPr="00165318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кръвоизлив при разкъсване на малкомозъчната обвивка (тенториум) (Р10.4)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Мозъчен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Интравентрикуларен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Разкъсване на тенториума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вътречерепни разкъсвания и кръвоизливи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Вътречерепни разкъсвания и кръвоизливи при родова травма, неуточнени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bg-BG"/>
              </w:rPr>
            </w:pP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Вътречерепен нетравматичен кръвоизлив у плода и новороденото</w:t>
            </w:r>
          </w:p>
          <w:p w:rsidR="00FA0BB7" w:rsidRPr="00165318" w:rsidRDefault="00FA0BB7" w:rsidP="00E56630">
            <w:pPr>
              <w:pStyle w:val="incl"/>
              <w:ind w:hanging="2642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вътречерепен кръвоизлив, дължащ се на аноксия или хипоксия</w:t>
            </w:r>
          </w:p>
          <w:p w:rsidR="00FA0BB7" w:rsidRPr="00165318" w:rsidRDefault="00FA0BB7" w:rsidP="00E56630">
            <w:pPr>
              <w:pStyle w:val="incl"/>
              <w:ind w:hanging="17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кръвоизлив, причинен от: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родова травма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10.—)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травма на майката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00.5)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дру</w:t>
            </w:r>
            <w:r w:rsidRPr="00165318">
              <w:rPr>
                <w:rFonts w:ascii="Arial" w:hAnsi="Arial" w:cs="Arial"/>
                <w:lang w:val="ru-RU"/>
              </w:rPr>
              <w:softHyphen/>
              <w:t>а травма (</w:t>
            </w:r>
            <w:r w:rsidRPr="00165318">
              <w:rPr>
                <w:rFonts w:ascii="Arial" w:hAnsi="Arial" w:cs="Arial"/>
              </w:rPr>
              <w:t>S</w:t>
            </w:r>
            <w:r w:rsidRPr="00165318">
              <w:rPr>
                <w:rFonts w:ascii="Arial" w:hAnsi="Arial" w:cs="Arial"/>
                <w:lang w:val="ru-RU"/>
              </w:rPr>
              <w:t>06.—)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(без разпространение в латералния вентрикул)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Р52.1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 и мозъчния паренхим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Неуточнен интравентрикуларен (нетравматичен) кръвоизлив у плода и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lastRenderedPageBreak/>
              <w:t>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Вътремозъчен кръвоизлив (нетравматичен)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Р52.5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(нетравматичен) кръвоизлив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Р52.6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Кръвоизлив в малкия мозък и задната черепна ямка (нетравматичен) у плода и новороденото</w:t>
            </w:r>
          </w:p>
          <w:p w:rsidR="00FA0BB7" w:rsidRPr="00165318" w:rsidRDefault="00FA0BB7" w:rsidP="00E56630">
            <w:pPr>
              <w:pStyle w:val="Body"/>
              <w:spacing w:before="0" w:line="240" w:lineRule="auto"/>
              <w:ind w:firstLine="193"/>
              <w:rPr>
                <w:rFonts w:cs="Arial"/>
                <w:b/>
                <w:szCs w:val="22"/>
                <w:lang w:val="ru-RU"/>
              </w:rPr>
            </w:pPr>
            <w:r w:rsidRPr="00165318">
              <w:rPr>
                <w:rFonts w:cs="Arial"/>
                <w:b/>
                <w:szCs w:val="22"/>
                <w:lang w:val="ru-RU"/>
              </w:rPr>
              <w:t>Р52.8        Д</w:t>
            </w:r>
            <w:r w:rsidRPr="00165318">
              <w:rPr>
                <w:rFonts w:cs="Arial"/>
                <w:b/>
                <w:szCs w:val="22"/>
              </w:rPr>
              <w:t>р</w:t>
            </w:r>
            <w:r w:rsidRPr="00165318">
              <w:rPr>
                <w:rFonts w:cs="Arial"/>
                <w:b/>
                <w:szCs w:val="22"/>
                <w:lang w:val="ru-RU"/>
              </w:rPr>
              <w:t>уги вътречерепни (нетравматични) кръвоизливи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941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P90           Неонатални гърчове (с-м на Уест)</w:t>
            </w:r>
          </w:p>
          <w:p w:rsidR="00FA0BB7" w:rsidRPr="00165318" w:rsidRDefault="00FA0BB7" w:rsidP="00E5663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A0BB7" w:rsidRPr="00165318" w:rsidRDefault="00FA0BB7" w:rsidP="00E56630">
            <w:pPr>
              <w:pStyle w:val="num2"/>
              <w:tabs>
                <w:tab w:val="clear" w:pos="1134"/>
                <w:tab w:val="left" w:pos="193"/>
              </w:tabs>
              <w:spacing w:line="240" w:lineRule="auto"/>
              <w:ind w:hanging="941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Нарушения на мускулния тонус у новороденото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Тежка преходна неонатална миастения  </w:t>
            </w:r>
          </w:p>
          <w:p w:rsidR="00FA0BB7" w:rsidRPr="00165318" w:rsidRDefault="00FA0BB7" w:rsidP="00E56630">
            <w:pPr>
              <w:pStyle w:val="incl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тежка миастения (G70.0)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хипертонус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хипотонус</w:t>
            </w:r>
          </w:p>
          <w:p w:rsidR="00FA0BB7" w:rsidRPr="00165318" w:rsidRDefault="00FA0BB7" w:rsidP="00E56630">
            <w:pPr>
              <w:pStyle w:val="inclpt"/>
              <w:ind w:left="0" w:firstLine="109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>Неспецифичен синдром на “вялото” бебе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нарушения на мускулния тонус на новородено</w:t>
            </w:r>
          </w:p>
          <w:p w:rsidR="00FA0BB7" w:rsidRPr="0088554E" w:rsidRDefault="00FA0BB7" w:rsidP="0088554E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Нарушение на мускулния тонус на новородено, неуточнен</w:t>
            </w:r>
          </w:p>
        </w:tc>
      </w:tr>
    </w:tbl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  <w:lang w:val="ru-RU"/>
        </w:rPr>
      </w:pPr>
    </w:p>
    <w:p w:rsidR="00FA0BB7" w:rsidRPr="00165318" w:rsidRDefault="00FA0BB7" w:rsidP="00FA0BB7">
      <w:pPr>
        <w:pStyle w:val="BodyChar"/>
        <w:widowControl w:val="0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t>Код Z</w:t>
      </w:r>
      <w:r w:rsidRPr="00165318">
        <w:rPr>
          <w:rFonts w:cs="Arial"/>
          <w:b/>
          <w:szCs w:val="22"/>
          <w:lang w:val="ru-RU"/>
        </w:rPr>
        <w:t xml:space="preserve">50.8 </w:t>
      </w:r>
      <w:r w:rsidRPr="00165318">
        <w:rPr>
          <w:rFonts w:cs="Arial"/>
          <w:b/>
          <w:szCs w:val="22"/>
        </w:rPr>
        <w:t xml:space="preserve">се използва задължително като водеща диагноза </w:t>
      </w:r>
      <w:r w:rsidRPr="00165318">
        <w:rPr>
          <w:rFonts w:cs="Arial"/>
          <w:bCs/>
          <w:szCs w:val="22"/>
        </w:rPr>
        <w:t>за да покаже, че пациентът е приет за</w:t>
      </w:r>
      <w:r w:rsidRPr="00165318">
        <w:rPr>
          <w:rFonts w:cs="Arial"/>
          <w:szCs w:val="22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</w:rPr>
      </w:pPr>
    </w:p>
    <w:p w:rsidR="00FA0BB7" w:rsidRPr="00165318" w:rsidRDefault="00FA0BB7" w:rsidP="00FA0BB7">
      <w:pPr>
        <w:pStyle w:val="Body"/>
        <w:spacing w:before="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FA0BB7" w:rsidRPr="00165318" w:rsidTr="00E56630">
        <w:trPr>
          <w:jc w:val="center"/>
        </w:trPr>
        <w:tc>
          <w:tcPr>
            <w:tcW w:w="9426" w:type="dxa"/>
          </w:tcPr>
          <w:p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165318">
              <w:rPr>
                <w:rFonts w:cs="Arial"/>
                <w:sz w:val="22"/>
                <w:szCs w:val="22"/>
              </w:rPr>
              <w:t>основни диагностични процедури</w:t>
            </w:r>
          </w:p>
          <w:p w:rsidR="00FA0BB7" w:rsidRPr="00165318" w:rsidRDefault="00FA0BB7" w:rsidP="00E56630">
            <w:pPr>
              <w:pStyle w:val="SrgCod"/>
              <w:keepNext w:val="0"/>
              <w:keepLines w:val="0"/>
              <w:widowControl w:val="0"/>
              <w:ind w:hanging="287"/>
              <w:rPr>
                <w:rFonts w:cs="Arial"/>
                <w:sz w:val="22"/>
                <w:szCs w:val="22"/>
                <w:u w:val="single"/>
              </w:rPr>
            </w:pPr>
          </w:p>
          <w:p w:rsidR="00FA0BB7" w:rsidRPr="0088554E" w:rsidRDefault="00FA0BB7" w:rsidP="00E56630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rFonts w:cs="Arial"/>
                <w:szCs w:val="14"/>
                <w:highlight w:val="yellow"/>
                <w:u w:val="single"/>
              </w:rPr>
            </w:pPr>
            <w:r w:rsidRPr="0088554E">
              <w:rPr>
                <w:rFonts w:cs="Arial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:rsidR="00FA0BB7" w:rsidRDefault="00FA0BB7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  <w:lang w:val="ru-RU"/>
              </w:rPr>
              <w:t>**</w:t>
            </w:r>
            <w:r w:rsidRPr="0088554E">
              <w:rPr>
                <w:rFonts w:cs="Arial"/>
                <w:szCs w:val="14"/>
                <w:highlight w:val="yellow"/>
              </w:rPr>
              <w:t>93.01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функционална оценка</w:t>
            </w:r>
          </w:p>
          <w:p w:rsidR="007F3908" w:rsidRDefault="007F3908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</w:p>
          <w:p w:rsidR="007F3908" w:rsidRPr="007F3908" w:rsidRDefault="007F3908" w:rsidP="007F39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7F390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1820</w:t>
            </w:r>
            <w:r w:rsidRPr="007F390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Физиологична оценка</w:t>
            </w:r>
          </w:p>
          <w:p w:rsidR="007F3908" w:rsidRPr="007F3908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96192-00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:rsidR="007F3908" w:rsidRPr="007F3908" w:rsidRDefault="007F3908" w:rsidP="007F39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консултация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интервю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изследване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преценка</w:t>
            </w:r>
            <w:proofErr w:type="spellEnd"/>
          </w:p>
          <w:p w:rsidR="007F3908" w:rsidRPr="007F3908" w:rsidRDefault="007F3908" w:rsidP="007F390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F3908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7F3908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Оценка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Консултация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Оценяване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7F3908" w:rsidRPr="0088554E" w:rsidRDefault="007F3908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</w:p>
          <w:p w:rsidR="00FA0BB7" w:rsidRPr="0088554E" w:rsidRDefault="00FA0BB7" w:rsidP="0088554E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rFonts w:cs="Arial"/>
                <w:szCs w:val="14"/>
                <w:highlight w:val="yellow"/>
                <w:u w:val="single"/>
              </w:rPr>
            </w:pPr>
            <w:r w:rsidRPr="0088554E">
              <w:rPr>
                <w:rFonts w:cs="Arial"/>
                <w:szCs w:val="14"/>
                <w:highlight w:val="yellow"/>
                <w:u w:val="single"/>
              </w:rPr>
              <w:t>**93.02  оценка на стойката</w:t>
            </w:r>
          </w:p>
          <w:p w:rsidR="00FA0BB7" w:rsidRPr="00165318" w:rsidRDefault="00FA0BB7" w:rsidP="00E56630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2"/>
                <w:szCs w:val="22"/>
              </w:rPr>
            </w:pPr>
            <w:r w:rsidRPr="00165318">
              <w:rPr>
                <w:rFonts w:cs="Arial"/>
                <w:bCs/>
                <w:sz w:val="22"/>
                <w:szCs w:val="22"/>
              </w:rPr>
              <w:t>Физиологична оценка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96019-00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Биомеханична оценка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равновесие (с тестване на сензорна организираност)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Мобилност/анализ на походка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Мускулоскелетна оценка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стоежа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t>обем на движения/тестване на мускулатура със специализирано оборудване (96159-00 [1905])</w:t>
            </w:r>
          </w:p>
          <w:p w:rsidR="00FA0BB7" w:rsidRPr="00165318" w:rsidRDefault="00FA0BB7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 w:val="22"/>
                <w:szCs w:val="22"/>
                <w:highlight w:val="yellow"/>
                <w:lang w:val="ru-RU"/>
              </w:rPr>
            </w:pPr>
          </w:p>
          <w:p w:rsidR="00FA0BB7" w:rsidRPr="0088554E" w:rsidRDefault="00FA0BB7" w:rsidP="00E56630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**93.07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измерване на тяло (антропоментрия)</w:t>
            </w:r>
          </w:p>
          <w:p w:rsidR="00FA0BB7" w:rsidRPr="0088554E" w:rsidRDefault="00FA0BB7" w:rsidP="00E56630">
            <w:pPr>
              <w:pStyle w:val="Description"/>
              <w:keepLines w:val="0"/>
              <w:ind w:firstLine="430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измерване на обиколка</w:t>
            </w:r>
          </w:p>
          <w:p w:rsidR="00FA0BB7" w:rsidRPr="0088554E" w:rsidRDefault="00FA0BB7" w:rsidP="00E56630">
            <w:pPr>
              <w:pStyle w:val="Description"/>
              <w:keepLines w:val="0"/>
              <w:ind w:firstLine="430"/>
              <w:rPr>
                <w:rFonts w:ascii="Arial" w:hAnsi="Arial" w:cs="Arial"/>
                <w:sz w:val="14"/>
                <w:szCs w:val="14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измерване обиколка на череп</w:t>
            </w:r>
          </w:p>
          <w:p w:rsidR="0088554E" w:rsidRPr="003A5BC7" w:rsidRDefault="00FA0BB7" w:rsidP="0088554E">
            <w:pPr>
              <w:pStyle w:val="Line1"/>
              <w:rPr>
                <w:lang w:val="bg-BG"/>
              </w:rPr>
            </w:pPr>
            <w:r w:rsidRPr="00165318">
              <w:rPr>
                <w:lang w:val="ru-RU"/>
              </w:rPr>
              <w:tab/>
            </w:r>
            <w:r w:rsidR="0088554E" w:rsidRPr="003A5BC7">
              <w:rPr>
                <w:lang w:val="bg-BG"/>
              </w:rPr>
              <w:t>1824</w:t>
            </w:r>
            <w:r w:rsidR="0088554E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88554E" w:rsidRPr="003A5BC7" w:rsidRDefault="0088554E" w:rsidP="0088554E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</w:p>
          <w:p w:rsidR="00FA0BB7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**93.09  друга диагностична физикална процедура</w:t>
            </w:r>
          </w:p>
          <w:p w:rsidR="007F3908" w:rsidRDefault="007F3908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</w:p>
          <w:p w:rsidR="007F3908" w:rsidRPr="007F3908" w:rsidRDefault="007F3908" w:rsidP="007F3908">
            <w:pPr>
              <w:spacing w:after="200" w:line="276" w:lineRule="auto"/>
              <w:rPr>
                <w:rFonts w:ascii="Arial" w:eastAsiaTheme="minorHAnsi" w:hAnsi="Arial" w:cs="Arial"/>
                <w:b/>
                <w:color w:val="FFFFFF" w:themeColor="background1"/>
                <w:sz w:val="22"/>
                <w:szCs w:val="22"/>
                <w:lang w:val="bg-BG"/>
              </w:rPr>
            </w:pPr>
            <w:r w:rsidRPr="007F3908">
              <w:rPr>
                <w:rFonts w:ascii="Arial" w:eastAsiaTheme="minorHAnsi" w:hAnsi="Arial" w:cs="Arial"/>
                <w:b/>
                <w:color w:val="FFFFFF" w:themeColor="background1"/>
                <w:sz w:val="22"/>
                <w:szCs w:val="22"/>
                <w:highlight w:val="black"/>
                <w:lang w:val="bg-BG"/>
              </w:rPr>
              <w:t>1866 Други диагностични тестове, измервания или изследвания</w:t>
            </w:r>
          </w:p>
          <w:p w:rsidR="007F3908" w:rsidRDefault="007F3908" w:rsidP="007F3908">
            <w:pPr>
              <w:spacing w:after="200" w:line="276" w:lineRule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en-US"/>
              </w:rPr>
            </w:pPr>
            <w:r w:rsidRPr="009658B0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bg-BG"/>
              </w:rPr>
              <w:t>96037-00  Друга оценка, консултация или оценяване</w:t>
            </w:r>
          </w:p>
          <w:p w:rsidR="000516C2" w:rsidRPr="000516C2" w:rsidRDefault="000516C2" w:rsidP="000516C2">
            <w:pPr>
              <w:rPr>
                <w:rFonts w:eastAsiaTheme="minorHAnsi" w:cstheme="minorBidi"/>
                <w:szCs w:val="22"/>
                <w:lang w:val="en-US"/>
              </w:rPr>
            </w:pPr>
          </w:p>
          <w:p w:rsidR="000516C2" w:rsidRPr="000516C2" w:rsidRDefault="000516C2" w:rsidP="000516C2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en-US"/>
              </w:rPr>
            </w:pPr>
            <w:r w:rsidRPr="000516C2">
              <w:rPr>
                <w:rFonts w:ascii="Arial" w:hAnsi="Arial"/>
                <w:b/>
                <w:caps/>
                <w:sz w:val="14"/>
                <w:highlight w:val="yellow"/>
                <w:lang w:val="en-US"/>
              </w:rPr>
              <w:t>**91</w:t>
            </w:r>
            <w:r w:rsidRPr="000516C2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.92 Други лабораторни изследвания</w:t>
            </w:r>
          </w:p>
          <w:p w:rsidR="000516C2" w:rsidRPr="000516C2" w:rsidRDefault="000516C2" w:rsidP="000516C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516C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0516C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0516C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:rsidR="000516C2" w:rsidRPr="000516C2" w:rsidRDefault="000516C2" w:rsidP="000516C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516C2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0516C2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за различни инфекциозни причинители</w:t>
            </w:r>
          </w:p>
          <w:p w:rsidR="000516C2" w:rsidRPr="000516C2" w:rsidRDefault="000516C2" w:rsidP="000516C2">
            <w:pPr>
              <w:rPr>
                <w:rFonts w:eastAsiaTheme="minorHAnsi" w:cstheme="minorBidi"/>
                <w:szCs w:val="22"/>
                <w:lang w:val="bg-BG"/>
              </w:rPr>
            </w:pPr>
          </w:p>
          <w:p w:rsidR="00FA0BB7" w:rsidRPr="006B366D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366D">
              <w:rPr>
                <w:rFonts w:cs="Arial"/>
                <w:sz w:val="22"/>
                <w:szCs w:val="22"/>
              </w:rPr>
              <w:t>основни терапевтични процедури</w:t>
            </w:r>
          </w:p>
          <w:p w:rsidR="00FA0BB7" w:rsidRPr="00165318" w:rsidRDefault="00FA0BB7" w:rsidP="00E56630">
            <w:pPr>
              <w:pStyle w:val="SrgCod"/>
              <w:keepNext w:val="0"/>
              <w:keepLines w:val="0"/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ФИЗИКАЛНИ ЛЕЧЕБНИ УПРАЖНЕНИЯ</w:t>
            </w:r>
          </w:p>
          <w:p w:rsidR="00FA0BB7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*93.17  друго пасивно скелетно-мускулно упражнение</w:t>
            </w:r>
          </w:p>
          <w:p w:rsidR="007F3908" w:rsidRDefault="007F3908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</w:p>
          <w:p w:rsidR="00832E72" w:rsidRPr="006E4543" w:rsidRDefault="00832E72" w:rsidP="00832E7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E4543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6E4543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E4543">
              <w:rPr>
                <w:rFonts w:cs="Arial"/>
                <w:sz w:val="20"/>
                <w:lang w:val="bg-BG"/>
              </w:rPr>
              <w:t>Втриване</w:t>
            </w:r>
            <w:r w:rsidRPr="00832E72">
              <w:rPr>
                <w:rFonts w:cs="Arial"/>
                <w:sz w:val="20"/>
                <w:lang w:val="bg-BG"/>
              </w:rPr>
              <w:t xml:space="preserve"> на терапевтичен гел, крем или лосион в тъкан на белег или рана</w:t>
            </w:r>
          </w:p>
          <w:p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32E72">
              <w:rPr>
                <w:rFonts w:cs="Arial"/>
                <w:sz w:val="20"/>
                <w:lang w:val="bg-BG"/>
              </w:rPr>
              <w:t>Точково стимулиране, проникване или седираща терапия</w:t>
            </w:r>
          </w:p>
          <w:p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32E72">
              <w:rPr>
                <w:rFonts w:cs="Arial"/>
                <w:sz w:val="20"/>
                <w:lang w:val="bg-BG"/>
              </w:rPr>
              <w:t>Забележка:</w:t>
            </w:r>
            <w:r w:rsidRPr="00832E72">
              <w:rPr>
                <w:rFonts w:cs="Arial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32E72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32E72">
              <w:rPr>
                <w:rFonts w:cs="Arial"/>
                <w:sz w:val="20"/>
                <w:lang w:val="bg-BG"/>
              </w:rPr>
              <w:t>:</w:t>
            </w:r>
            <w:r w:rsidRPr="00832E72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масаж:</w:t>
            </w:r>
          </w:p>
          <w:p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простата (92131-00 [1904])</w:t>
            </w:r>
          </w:p>
          <w:p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ректум (92094-00 [1899])</w:t>
            </w:r>
          </w:p>
          <w:p w:rsidR="007F3908" w:rsidRPr="0088554E" w:rsidRDefault="007F3908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 xml:space="preserve">*93.19  упражнение, некласифицирано другаде </w:t>
            </w:r>
          </w:p>
          <w:p w:rsidR="00FA0BB7" w:rsidRPr="0088554E" w:rsidRDefault="0088554E" w:rsidP="0088554E">
            <w:pPr>
              <w:pStyle w:val="SrgCod4dig"/>
              <w:keepNext/>
              <w:ind w:hanging="371"/>
              <w:rPr>
                <w:rFonts w:cs="Arial"/>
                <w:b w:val="0"/>
                <w:szCs w:val="14"/>
                <w:highlight w:val="yellow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кинезитерапия по невро-развойни методики- бобат, войта</w:t>
            </w:r>
          </w:p>
          <w:p w:rsidR="00FA0BB7" w:rsidRPr="0088554E" w:rsidRDefault="0088554E" w:rsidP="0088554E">
            <w:pPr>
              <w:pStyle w:val="SrgCod4dig"/>
              <w:keepNext/>
              <w:ind w:hanging="371"/>
              <w:rPr>
                <w:rFonts w:cs="Arial"/>
                <w:b w:val="0"/>
                <w:szCs w:val="14"/>
                <w:highlight w:val="yellow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сензорно-интеграционна терапия</w:t>
            </w:r>
          </w:p>
          <w:p w:rsidR="002B09B4" w:rsidRDefault="002B09B4" w:rsidP="00E56630">
            <w:pPr>
              <w:pStyle w:val="SrgCod4dig"/>
              <w:widowControl w:val="0"/>
              <w:ind w:hanging="371"/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</w:pPr>
            <w:r w:rsidRPr="002B09B4">
              <w:rPr>
                <w:rFonts w:cs="Arial"/>
                <w:b w:val="0"/>
                <w:caps w:val="0"/>
                <w:sz w:val="22"/>
                <w:szCs w:val="22"/>
              </w:rPr>
              <w:t>96061-03 Аналитична лечебна физкултура</w:t>
            </w:r>
          </w:p>
          <w:p w:rsidR="002B09B4" w:rsidRDefault="002B09B4" w:rsidP="00E56630">
            <w:pPr>
              <w:pStyle w:val="SrgCod4dig"/>
              <w:widowControl w:val="0"/>
              <w:ind w:hanging="371"/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ДРУГИ ПРОЦЕДУРИ ЗА ФИЗИКАЛНА ТЕРАПИЯ</w:t>
            </w: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*93.39  друга физикална терапия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ind w:left="139"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магнитно поле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електростимулация – стабилен, лабилен метод: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магнитотерапия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криоелектрофореза </w:t>
            </w:r>
          </w:p>
          <w:p w:rsidR="00FA0BB7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Лазер</w:t>
            </w:r>
          </w:p>
          <w:p w:rsidR="007F3908" w:rsidRPr="0088554E" w:rsidRDefault="007F3908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  <w:lang w:val="ru-RU"/>
              </w:rPr>
            </w:pPr>
          </w:p>
          <w:p w:rsidR="007F3908" w:rsidRPr="009658B0" w:rsidRDefault="007F3908" w:rsidP="007F390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96149-00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Лечение с нискочестотни токове </w:t>
            </w:r>
          </w:p>
          <w:p w:rsidR="007F3908" w:rsidRPr="009658B0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96149-01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Лечение със средночестотни токове </w:t>
            </w:r>
          </w:p>
          <w:p w:rsidR="007F3908" w:rsidRPr="009658B0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96149-02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високочестотни токове</w:t>
            </w:r>
          </w:p>
          <w:p w:rsidR="007F3908" w:rsidRPr="007F3908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96149-03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нискочестотно магнитно поле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ru-RU"/>
              </w:rPr>
            </w:pPr>
            <w:r w:rsidRPr="00E15885">
              <w:rPr>
                <w:rFonts w:ascii="Arial" w:hAnsi="Arial" w:cs="Arial"/>
                <w:strike/>
                <w:color w:val="222122"/>
                <w:sz w:val="22"/>
                <w:szCs w:val="22"/>
                <w:lang w:val="bg-BG"/>
              </w:rPr>
              <w:t>.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96155-00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Стимулираща терапия, некласифицирана другаде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Лечение с терапевтичен лазер БДУ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електрическа невромускулна нервна стимулация [EMS]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функционална електростимулация [FES]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интерферентна терапия [IFT]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транскутанна електрическа нервна стимулация [TENS]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FA0BB7" w:rsidRPr="0088554E" w:rsidRDefault="00FA0BB7" w:rsidP="00E56630">
            <w:pPr>
              <w:pStyle w:val="SrgCod4dig"/>
              <w:widowControl w:val="0"/>
              <w:ind w:hanging="348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*93.75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друго говорно трениране и лечение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156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предречева рехабилитация</w:t>
            </w:r>
          </w:p>
          <w:p w:rsidR="00FA0BB7" w:rsidRPr="0088554E" w:rsidRDefault="00FA0BB7" w:rsidP="00E56630">
            <w:pPr>
              <w:pStyle w:val="SrgCod"/>
              <w:keepNext w:val="0"/>
              <w:keepLines w:val="0"/>
              <w:ind w:hanging="100"/>
              <w:rPr>
                <w:rFonts w:cs="Arial"/>
                <w:b w:val="0"/>
                <w:caps w:val="0"/>
                <w:noProof/>
                <w:szCs w:val="14"/>
                <w:highlight w:val="yellow"/>
                <w:lang w:val="ru-RU"/>
              </w:rPr>
            </w:pPr>
            <w:r w:rsidRPr="0088554E">
              <w:rPr>
                <w:rFonts w:cs="Arial"/>
                <w:b w:val="0"/>
                <w:caps w:val="0"/>
                <w:noProof/>
                <w:szCs w:val="14"/>
                <w:highlight w:val="yellow"/>
              </w:rPr>
              <w:t>хранителна терапия</w:t>
            </w:r>
          </w:p>
          <w:p w:rsidR="00FA0BB7" w:rsidRPr="00165318" w:rsidRDefault="00FA0BB7" w:rsidP="0088554E">
            <w:pPr>
              <w:pStyle w:val="bulets"/>
            </w:pPr>
            <w:r w:rsidRPr="00165318">
              <w:tab/>
              <w:t>Обучение на умения, свързани с глас, реч, умение на езика и комуникация</w:t>
            </w:r>
          </w:p>
          <w:p w:rsidR="00FA0BB7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96134-00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 xml:space="preserve">Умения за обучение на гласа </w:t>
            </w:r>
          </w:p>
          <w:p w:rsidR="00866309" w:rsidRPr="004072BB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  <w:r w:rsidRPr="004072BB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:rsidR="00866309" w:rsidRPr="004072BB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</w:t>
            </w:r>
            <w:r w:rsidRPr="0088554E">
              <w:rPr>
                <w:rFonts w:cs="Arial"/>
                <w:szCs w:val="14"/>
                <w:highlight w:val="yellow"/>
                <w:lang w:val="ru-RU"/>
              </w:rPr>
              <w:t>89</w:t>
            </w:r>
            <w:r w:rsidRPr="0088554E">
              <w:rPr>
                <w:rFonts w:cs="Arial"/>
                <w:szCs w:val="14"/>
                <w:highlight w:val="yellow"/>
              </w:rPr>
              <w:t xml:space="preserve">  Рехабилитация, некласифицирана другаде</w:t>
            </w:r>
          </w:p>
          <w:p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b w:val="0"/>
                <w:caps w:val="0"/>
                <w:szCs w:val="14"/>
                <w:highlight w:val="yellow"/>
                <w:lang w:val="en-US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вкл.позиционно лечение, миофиидбек</w:t>
            </w:r>
          </w:p>
          <w:p w:rsidR="00085FBF" w:rsidRPr="0088554E" w:rsidRDefault="00085FBF" w:rsidP="00E56630">
            <w:pPr>
              <w:pStyle w:val="SrgCod4dig"/>
              <w:keepNext/>
              <w:keepLines/>
              <w:ind w:hanging="348"/>
              <w:rPr>
                <w:rFonts w:cs="Arial"/>
                <w:b w:val="0"/>
                <w:caps w:val="0"/>
                <w:szCs w:val="14"/>
                <w:highlight w:val="yellow"/>
                <w:lang w:val="en-US"/>
              </w:rPr>
            </w:pPr>
          </w:p>
          <w:p w:rsidR="00FA0BB7" w:rsidRPr="00085FBF" w:rsidRDefault="00085FBF" w:rsidP="00085FBF">
            <w:pPr>
              <w:pStyle w:val="SrgCod4dig"/>
              <w:keepNext/>
              <w:keepLines/>
              <w:rPr>
                <w:rFonts w:cs="Arial"/>
                <w:b w:val="0"/>
                <w:caps w:val="0"/>
                <w:sz w:val="22"/>
                <w:szCs w:val="22"/>
                <w:highlight w:val="yellow"/>
                <w:lang w:val="en-US"/>
              </w:rPr>
            </w:pPr>
            <w:r w:rsidRPr="00085FBF">
              <w:rPr>
                <w:rFonts w:cs="Arial"/>
                <w:b w:val="0"/>
                <w:caps w:val="0"/>
                <w:sz w:val="22"/>
                <w:szCs w:val="22"/>
                <w:lang w:val="ru-RU"/>
              </w:rPr>
              <w:t>96061-01</w:t>
            </w:r>
            <w:r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>Позиционна</w:t>
            </w:r>
            <w:proofErr w:type="spellEnd"/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>терапия</w:t>
            </w:r>
            <w:proofErr w:type="spellEnd"/>
          </w:p>
          <w:p w:rsidR="00FA0BB7" w:rsidRPr="005A2BD1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highlight w:val="green"/>
                <w:lang w:val="bg-BG"/>
              </w:rPr>
            </w:pPr>
          </w:p>
          <w:p w:rsidR="006D7A0C" w:rsidRDefault="006D7A0C" w:rsidP="006D7A0C">
            <w:pPr>
              <w:rPr>
                <w:rFonts w:ascii="Arial" w:hAnsi="Arial" w:cs="Arial"/>
                <w:sz w:val="20"/>
                <w:szCs w:val="20"/>
              </w:rPr>
            </w:pPr>
            <w:r w:rsidRPr="00085FBF">
              <w:rPr>
                <w:rFonts w:ascii="Arial" w:hAnsi="Arial" w:cs="Arial"/>
                <w:sz w:val="20"/>
                <w:szCs w:val="20"/>
              </w:rPr>
              <w:t xml:space="preserve">96142-00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Обучение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умения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подпомагащи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адаптиращи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устройство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помощни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средства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оборудване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Терапии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агенти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некласифицирани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другаде</w:t>
            </w:r>
            <w:proofErr w:type="spellEnd"/>
          </w:p>
          <w:p w:rsidR="00090DBD" w:rsidRP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</w:p>
          <w:p w:rsidR="00090DBD" w:rsidRP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>96152-00</w:t>
            </w:r>
            <w:r w:rsidRPr="00090DB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Биофиидбек</w:t>
            </w:r>
            <w:proofErr w:type="spellEnd"/>
          </w:p>
          <w:p w:rsid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Забележка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>:</w:t>
            </w:r>
            <w:r w:rsidRPr="00090DB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Процес</w:t>
            </w:r>
            <w:proofErr w:type="gramStart"/>
            <w:r w:rsidRPr="00090DBD">
              <w:rPr>
                <w:rFonts w:ascii="Arial" w:hAnsi="Arial" w:cs="Arial"/>
                <w:sz w:val="20"/>
                <w:szCs w:val="20"/>
              </w:rPr>
              <w:t>,чрез</w:t>
            </w:r>
            <w:proofErr w:type="spellEnd"/>
            <w:proofErr w:type="gram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който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физиологичната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активност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клиента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може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бъде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превърната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електрически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сигнали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зрителна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слухова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системи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Примери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видове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биологичен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фиидбек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които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могат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посочат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включват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информация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промени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кожна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температура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мускулен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тонус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сърдечносъдова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дейност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кръвно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налягане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вълни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мозъчна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активност</w:t>
            </w:r>
            <w:proofErr w:type="spellEnd"/>
          </w:p>
          <w:p w:rsidR="00090DBD" w:rsidRPr="004072BB" w:rsidRDefault="00090DBD" w:rsidP="006D7A0C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szCs w:val="14"/>
                <w:lang w:val="ru-RU"/>
              </w:rPr>
            </w:pPr>
            <w:r w:rsidRPr="0088554E">
              <w:rPr>
                <w:rFonts w:cs="Arial"/>
                <w:szCs w:val="14"/>
                <w:highlight w:val="yellow"/>
              </w:rPr>
              <w:t>*93.95   Хипербарна оксигенация</w:t>
            </w:r>
          </w:p>
          <w:p w:rsidR="0088554E" w:rsidRPr="003A5BC7" w:rsidRDefault="0088554E" w:rsidP="0088554E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1888</w:t>
            </w:r>
            <w:r w:rsidRPr="003A5BC7">
              <w:rPr>
                <w:lang w:val="bg-BG"/>
              </w:rPr>
              <w:tab/>
              <w:t>Хипербарна кислородна терапия</w:t>
            </w:r>
          </w:p>
          <w:p w:rsidR="0088554E" w:rsidRPr="003A5BC7" w:rsidRDefault="0088554E" w:rsidP="0088554E">
            <w:proofErr w:type="spellStart"/>
            <w:r w:rsidRPr="003A5BC7">
              <w:t>Хипербарна</w:t>
            </w:r>
            <w:proofErr w:type="spellEnd"/>
            <w:r w:rsidRPr="003A5BC7">
              <w:t xml:space="preserve"> </w:t>
            </w:r>
            <w:proofErr w:type="spellStart"/>
            <w:r w:rsidRPr="003A5BC7">
              <w:t>оксигенация</w:t>
            </w:r>
            <w:proofErr w:type="spellEnd"/>
          </w:p>
          <w:p w:rsidR="0088554E" w:rsidRPr="003A5BC7" w:rsidRDefault="0088554E" w:rsidP="0088554E">
            <w:pPr>
              <w:pStyle w:val="body2"/>
              <w:rPr>
                <w:color w:val="auto"/>
              </w:rPr>
            </w:pPr>
            <w:r w:rsidRPr="003A5BC7">
              <w:rPr>
                <w:i/>
                <w:color w:val="auto"/>
              </w:rPr>
              <w:t>Включва</w:t>
            </w:r>
            <w:r w:rsidRPr="003A5BC7">
              <w:rPr>
                <w:color w:val="auto"/>
              </w:rPr>
              <w:t>:</w:t>
            </w:r>
            <w:r w:rsidRPr="003A5BC7">
              <w:rPr>
                <w:color w:val="auto"/>
              </w:rPr>
              <w:tab/>
              <w:t>100% оксигенация</w:t>
            </w:r>
          </w:p>
          <w:p w:rsidR="0088554E" w:rsidRPr="003A5BC7" w:rsidRDefault="0088554E" w:rsidP="0088554E">
            <w:pPr>
              <w:pStyle w:val="body3"/>
            </w:pPr>
            <w:r w:rsidRPr="003A5BC7">
              <w:t>тази при рана</w:t>
            </w:r>
          </w:p>
          <w:p w:rsidR="00FA0BB7" w:rsidRPr="0088554E" w:rsidRDefault="0088554E" w:rsidP="0088554E">
            <w:pPr>
              <w:pStyle w:val="Line2"/>
            </w:pPr>
            <w:r w:rsidRPr="003A5BC7">
              <w:t>13020-00</w:t>
            </w:r>
            <w:r w:rsidRPr="003A5BC7">
              <w:tab/>
              <w:t>Хипербарна кислородна терапия, &gt; 90 минути и ≤ 3 часа</w:t>
            </w:r>
          </w:p>
        </w:tc>
      </w:tr>
    </w:tbl>
    <w:p w:rsidR="000F1F61" w:rsidRPr="000F1F61" w:rsidRDefault="000F1F61" w:rsidP="000F1F61">
      <w:pPr>
        <w:widowControl w:val="0"/>
        <w:spacing w:before="40" w:line="280" w:lineRule="atLeast"/>
        <w:ind w:firstLine="513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lastRenderedPageBreak/>
        <w:t>Изискване: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 Клиничната пътека се счита за завършена, ако са приложени и отчетени </w:t>
      </w:r>
      <w:r w:rsidRPr="000F1F61">
        <w:rPr>
          <w:rFonts w:ascii="Arial" w:hAnsi="Arial" w:cs="Arial"/>
          <w:sz w:val="22"/>
          <w:szCs w:val="22"/>
          <w:lang w:val="en-US"/>
        </w:rPr>
        <w:t>e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дна основна диагностична 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 (</w:t>
      </w:r>
      <w:r w:rsidRPr="000F1F61">
        <w:rPr>
          <w:rFonts w:ascii="Arial" w:hAnsi="Arial" w:cs="Arial"/>
          <w:sz w:val="22"/>
          <w:szCs w:val="22"/>
          <w:lang w:val="bg-BG"/>
        </w:rPr>
        <w:t>двукратно - при приемане и преди изписване от лечебното заведение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) </w:t>
      </w:r>
      <w:r w:rsidRPr="000F1F61">
        <w:rPr>
          <w:rFonts w:ascii="Arial" w:hAnsi="Arial" w:cs="Arial"/>
          <w:sz w:val="22"/>
          <w:szCs w:val="22"/>
          <w:lang w:val="bg-BG"/>
        </w:rPr>
        <w:t>и две основни различни терапевтични процедури дневно, посочени в блок</w:t>
      </w:r>
      <w:r w:rsidRPr="000F1F61">
        <w:rPr>
          <w:rFonts w:ascii="Arial" w:hAnsi="Arial" w:cs="Arial"/>
          <w:b/>
          <w:noProof/>
          <w:sz w:val="22"/>
          <w:szCs w:val="22"/>
          <w:lang w:val="bg-BG"/>
        </w:rPr>
        <w:t xml:space="preserve"> Кодове на основни процедури по МКБ-9 КМ.</w:t>
      </w: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 </w:t>
      </w:r>
    </w:p>
    <w:p w:rsidR="00B97CAE" w:rsidRDefault="00B97CAE" w:rsidP="00B97CAE">
      <w:pPr>
        <w:keepNext/>
        <w:keepLines/>
        <w:widowControl w:val="0"/>
        <w:spacing w:before="40" w:line="280" w:lineRule="atLeast"/>
        <w:ind w:firstLine="513"/>
        <w:jc w:val="both"/>
        <w:rPr>
          <w:rFonts w:ascii="Arial" w:eastAsiaTheme="minorHAnsi" w:hAnsi="Arial" w:cs="Arial"/>
          <w:noProof/>
          <w:sz w:val="22"/>
          <w:szCs w:val="22"/>
          <w:highlight w:val="cyan"/>
          <w:lang w:val="en-US"/>
        </w:rPr>
      </w:pPr>
    </w:p>
    <w:p w:rsidR="000516C2" w:rsidRPr="000516C2" w:rsidRDefault="000516C2" w:rsidP="000516C2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hAnsi="Arial"/>
          <w:noProof/>
          <w:sz w:val="22"/>
          <w:szCs w:val="20"/>
          <w:lang w:val="bg-BG"/>
        </w:rPr>
      </w:pPr>
      <w:r w:rsidRPr="000516C2">
        <w:rPr>
          <w:rFonts w:ascii="Arial" w:hAnsi="Arial"/>
          <w:noProof/>
          <w:sz w:val="22"/>
          <w:szCs w:val="20"/>
          <w:lang w:val="bg-BG"/>
        </w:rPr>
        <w:t xml:space="preserve">Основна процедура </w:t>
      </w:r>
      <w:r w:rsidRPr="000516C2">
        <w:rPr>
          <w:rFonts w:ascii="Arial" w:hAnsi="Arial"/>
          <w:noProof/>
          <w:sz w:val="22"/>
          <w:szCs w:val="20"/>
          <w:highlight w:val="yellow"/>
          <w:lang w:val="bg-BG"/>
        </w:rPr>
        <w:t>**91.92</w:t>
      </w:r>
      <w:r w:rsidRPr="000516C2">
        <w:rPr>
          <w:rFonts w:ascii="Arial" w:hAnsi="Arial"/>
          <w:noProof/>
          <w:sz w:val="22"/>
          <w:szCs w:val="20"/>
          <w:lang w:val="en-US"/>
        </w:rPr>
        <w:t xml:space="preserve"> </w:t>
      </w:r>
      <w:r w:rsidRPr="000516C2">
        <w:rPr>
          <w:rFonts w:ascii="Arial" w:hAnsi="Arial"/>
          <w:sz w:val="22"/>
          <w:szCs w:val="20"/>
          <w:lang w:val="bg-BG"/>
        </w:rPr>
        <w:t>92191-00</w:t>
      </w:r>
      <w:r w:rsidRPr="000516C2">
        <w:rPr>
          <w:rFonts w:ascii="Arial" w:hAnsi="Arial"/>
          <w:noProof/>
          <w:sz w:val="22"/>
          <w:szCs w:val="20"/>
          <w:lang w:val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0F1F61" w:rsidRPr="000F1F61" w:rsidRDefault="000F1F61" w:rsidP="000F1F61">
      <w:pPr>
        <w:spacing w:before="40" w:line="280" w:lineRule="atLeast"/>
        <w:ind w:firstLine="513"/>
        <w:jc w:val="both"/>
        <w:rPr>
          <w:rFonts w:ascii="Arial" w:hAnsi="Arial" w:cs="Arial"/>
          <w:b/>
          <w:bCs/>
          <w:snapToGrid w:val="0"/>
          <w:sz w:val="22"/>
          <w:szCs w:val="22"/>
          <w:lang w:val="bg-BG"/>
        </w:rPr>
      </w:pPr>
      <w:bookmarkStart w:id="0" w:name="_GoBack"/>
      <w:bookmarkEnd w:id="0"/>
      <w:r w:rsidRPr="000F1F61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Рентгеновите филми или друг носител при образни изследвания се прикрепват към ИЗ. 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Документът с резултатите от проведени образни изследвания съдържа задължително: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трите имена и възрастта на пациента;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датата на изследването;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вида на изследването;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 xml:space="preserve">- получените резултати от изследването и неговото тълкуване; 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подпис на лекаря, извършил изследването.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Фишът се прикрепва към ИЗ.</w:t>
      </w:r>
    </w:p>
    <w:p w:rsid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F1F61" w:rsidRPr="000F1F6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Проведените диагностични процедури задължително се отразяват в ИЗ, а терапевтичните - </w:t>
      </w:r>
      <w:r w:rsidRPr="000F1F61">
        <w:rPr>
          <w:rFonts w:ascii="Arial" w:hAnsi="Arial" w:cs="Arial"/>
          <w:b/>
          <w:sz w:val="22"/>
          <w:szCs w:val="22"/>
          <w:lang w:val="ru-RU"/>
        </w:rPr>
        <w:t>във физиопроцедурна карта (бл. МЗ № 509-89).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</w:p>
    <w:p w:rsidR="000F1F61" w:rsidRPr="000F1F6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0F1F61" w:rsidRPr="000F1F6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>І.</w:t>
      </w:r>
      <w:r w:rsidRPr="000F1F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0F1F61">
        <w:rPr>
          <w:rFonts w:ascii="Arial" w:hAnsi="Arial" w:cs="Arial"/>
          <w:b/>
          <w:sz w:val="22"/>
          <w:szCs w:val="22"/>
          <w:u w:val="single"/>
          <w:lang w:val="bg-BG"/>
        </w:rPr>
        <w:t xml:space="preserve">УСЛОВИЯ ЗА СКЛЮЧВАНЕ НА ДОГОВОР И ЗА ИЗПЪЛНЕНИЕ НА КЛИНИЧНАТА ПЪТЕКА </w:t>
      </w:r>
    </w:p>
    <w:p w:rsidR="000F1F61" w:rsidRPr="000F1F6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</w:p>
    <w:p w:rsidR="000F1F61" w:rsidRPr="000F1F6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0F1F61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компетентност, съгласно медицински стандарт "Физикална и рехабилитационна медицина" </w:t>
      </w:r>
    </w:p>
    <w:p w:rsidR="000F1F61" w:rsidRPr="000F1F6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0F1F61" w:rsidRPr="000F1F61" w:rsidRDefault="000F1F61" w:rsidP="000F1F61">
      <w:pPr>
        <w:keepNext/>
        <w:keepLines/>
        <w:spacing w:before="40"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0F1F61">
        <w:rPr>
          <w:rFonts w:ascii="Arial" w:hAnsi="Arial" w:cs="Arial"/>
          <w:b/>
          <w:noProof/>
          <w:sz w:val="22"/>
          <w:szCs w:val="22"/>
          <w:lang w:val="ru-RU"/>
        </w:rPr>
        <w:t>1</w:t>
      </w:r>
      <w:r w:rsidRPr="000F1F61">
        <w:rPr>
          <w:rFonts w:ascii="Arial" w:hAnsi="Arial" w:cs="Arial"/>
          <w:b/>
          <w:noProof/>
          <w:sz w:val="22"/>
          <w:szCs w:val="22"/>
          <w:lang w:val="bg-BG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F1F61" w:rsidRPr="00891D81" w:rsidRDefault="000F1F61" w:rsidP="000F1F61">
      <w:pPr>
        <w:keepNext/>
        <w:keepLines/>
        <w:spacing w:before="40" w:line="280" w:lineRule="atLeast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0F1F61">
        <w:rPr>
          <w:rFonts w:ascii="Arial" w:hAnsi="Arial" w:cs="Arial"/>
          <w:noProof/>
          <w:sz w:val="22"/>
          <w:szCs w:val="22"/>
          <w:lang w:val="bg-BG"/>
        </w:rPr>
        <w:t xml:space="preserve">Лечебното заведение за болнична помощ може да осигури чрез договор, вменените като задължителни звена,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медицинска апаратура и оборудване, и с друго лечебно заведение за </w:t>
      </w:r>
      <w:r w:rsidRPr="00891D81">
        <w:rPr>
          <w:rFonts w:ascii="Arial" w:hAnsi="Arial" w:cs="Arial"/>
          <w:sz w:val="22"/>
          <w:szCs w:val="22"/>
          <w:lang w:val="bg-BG"/>
        </w:rPr>
        <w:t>извънболнична или болнична помощ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, разположено на територията му</w:t>
      </w:r>
      <w:r w:rsidRPr="00891D81">
        <w:rPr>
          <w:rFonts w:ascii="Arial" w:hAnsi="Arial" w:cs="Arial"/>
          <w:noProof/>
          <w:sz w:val="22"/>
          <w:szCs w:val="22"/>
          <w:lang w:val="ru-RU"/>
        </w:rPr>
        <w:t xml:space="preserve"> и имащо договор с НЗОК.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tbl>
      <w:tblPr>
        <w:tblW w:w="0" w:type="auto"/>
        <w:jc w:val="center"/>
        <w:tblInd w:w="-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0F1F61" w:rsidRPr="00891D81" w:rsidTr="00812B73">
        <w:trPr>
          <w:jc w:val="center"/>
        </w:trPr>
        <w:tc>
          <w:tcPr>
            <w:tcW w:w="9128" w:type="dxa"/>
          </w:tcPr>
          <w:p w:rsidR="000F1F61" w:rsidRPr="00891D81" w:rsidRDefault="000F1F61" w:rsidP="000F1F61">
            <w:pPr>
              <w:ind w:left="57"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bg-BG"/>
              </w:rPr>
              <w:t xml:space="preserve">медицинска апаратура </w:t>
            </w:r>
          </w:p>
        </w:tc>
      </w:tr>
      <w:tr w:rsidR="000F1F61" w:rsidRPr="00891D81" w:rsidTr="00812B73">
        <w:trPr>
          <w:trHeight w:val="569"/>
          <w:jc w:val="center"/>
        </w:trPr>
        <w:tc>
          <w:tcPr>
            <w:tcW w:w="9128" w:type="dxa"/>
            <w:vAlign w:val="center"/>
          </w:tcPr>
          <w:p w:rsidR="000F1F61" w:rsidRPr="00891D81" w:rsidRDefault="000F1F61" w:rsidP="000F1F61">
            <w:pPr>
              <w:widowControl w:val="0"/>
              <w:ind w:left="-1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891D81">
              <w:rPr>
                <w:rFonts w:ascii="Arial" w:hAnsi="Arial" w:cs="Arial"/>
                <w:sz w:val="22"/>
                <w:szCs w:val="22"/>
                <w:lang w:val="bg-BG"/>
              </w:rPr>
              <w:t xml:space="preserve">. Клиника/отделение по физикална и рехабилитационна медицина </w:t>
            </w:r>
          </w:p>
        </w:tc>
      </w:tr>
    </w:tbl>
    <w:p w:rsidR="000F1F61" w:rsidRPr="00891D81" w:rsidRDefault="000F1F61" w:rsidP="000F1F61">
      <w:pPr>
        <w:keepNext/>
        <w:ind w:firstLine="567"/>
        <w:jc w:val="both"/>
        <w:rPr>
          <w:rFonts w:ascii="Arial" w:hAnsi="Arial" w:cs="Arial"/>
          <w:strike/>
          <w:sz w:val="22"/>
          <w:szCs w:val="22"/>
          <w:lang w:val="en-US"/>
        </w:rPr>
      </w:pPr>
    </w:p>
    <w:p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noProof/>
          <w:sz w:val="22"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 структурата може да бъде оборудвана само със съответната по вид апаратура.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ru-RU"/>
        </w:rPr>
        <w:t>2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. </w:t>
      </w:r>
      <w:r w:rsidRPr="00891D81">
        <w:rPr>
          <w:rFonts w:ascii="Arial" w:hAnsi="Arial" w:cs="Arial"/>
          <w:b/>
          <w:sz w:val="22"/>
          <w:szCs w:val="22"/>
          <w:lang w:val="bg-BG"/>
        </w:rPr>
        <w:t>НЕОБХОДИМИ СПЕЦИАЛИСТИ ЗА ИЗПЪЛНЕНИЕ НА КЛИНИЧНАТА ПЪТЕКА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.</w:t>
      </w:r>
    </w:p>
    <w:p w:rsidR="000F1F61" w:rsidRPr="00891D81" w:rsidRDefault="000F1F61" w:rsidP="000F1F61">
      <w:pPr>
        <w:keepLines/>
        <w:tabs>
          <w:tab w:val="left" w:pos="284"/>
          <w:tab w:val="left" w:pos="1134"/>
        </w:tabs>
        <w:spacing w:before="240" w:after="120"/>
        <w:ind w:left="1134" w:hanging="1134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bCs/>
          <w:noProof/>
          <w:sz w:val="22"/>
          <w:szCs w:val="22"/>
          <w:lang w:val="bg-BG"/>
        </w:rPr>
        <w:t>Блок 1. Необходими специалисти за лечение на пациенти на възраст под 18 години: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sz w:val="22"/>
          <w:szCs w:val="22"/>
          <w:lang w:val="ru-RU"/>
        </w:rPr>
      </w:pPr>
      <w:r w:rsidRPr="00891D81">
        <w:rPr>
          <w:rFonts w:ascii="Arial" w:hAnsi="Arial" w:cs="Arial"/>
          <w:sz w:val="22"/>
          <w:szCs w:val="22"/>
          <w:lang w:val="bg-BG"/>
        </w:rPr>
        <w:t>-  Най-малко двама лекари, от които най-малко един с придобита специалност по физикална и рехабилитационна медицина</w:t>
      </w:r>
    </w:p>
    <w:p w:rsidR="000F1F61" w:rsidRPr="00891D81" w:rsidRDefault="000F1F61" w:rsidP="000F1F61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II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.  </w:t>
      </w:r>
      <w:r w:rsidRPr="00891D81">
        <w:rPr>
          <w:rFonts w:ascii="Arial" w:hAnsi="Arial"/>
          <w:b/>
          <w:noProof/>
          <w:sz w:val="22"/>
          <w:szCs w:val="20"/>
          <w:u w:val="single"/>
          <w:lang w:val="bg-BG"/>
        </w:rPr>
        <w:t>ИНДИКАЦИИ ЗА ХОСПИТАЛИЗАЦИЯ И ЛЕЧЕНИЕ</w:t>
      </w:r>
    </w:p>
    <w:p w:rsidR="000F1F61" w:rsidRPr="00891D81" w:rsidRDefault="000F1F61" w:rsidP="000F1F61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</w:p>
    <w:p w:rsidR="000F1F61" w:rsidRPr="00891D81" w:rsidRDefault="000F1F61" w:rsidP="000F1F61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891D81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0F1F61" w:rsidRPr="00891D81" w:rsidRDefault="000F1F61" w:rsidP="000F1F61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0F1F61" w:rsidRPr="00891D81" w:rsidRDefault="000F1F61" w:rsidP="000F1F61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891D81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891D81">
        <w:rPr>
          <w:rFonts w:ascii="Arial" w:hAnsi="Arial" w:cs="Arial"/>
          <w:sz w:val="22"/>
          <w:szCs w:val="22"/>
          <w:lang w:eastAsia="bg-BG"/>
        </w:rPr>
        <w:t>e</w:t>
      </w:r>
      <w:r w:rsidRPr="00891D81">
        <w:rPr>
          <w:rFonts w:ascii="Arial" w:hAnsi="Arial" w:cs="Arial"/>
          <w:sz w:val="22"/>
          <w:szCs w:val="22"/>
          <w:lang w:val="ru-RU" w:eastAsia="bg-BG"/>
        </w:rPr>
        <w:t>рапия и рехабилитация на пациенти с родова травма на централната нервна система при: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образни данни (ултразвукови или КТ, или МРТ) за вътремозъчен кръвоизлив с различна топика и характер;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до 18 месеца с изоставане в двигателното развитие повече от 3 месеца;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с асиметрия на движенията и мускулен тонус с едностранна изразеност за горни и долни крайници.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ИЗГОТВЯНЕ НА ГОДИШЕН ПЛАН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пациенти с определяне на броя и продължителността на последващите болнични престои.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3.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в сферата на двигателен дефицит за продължаване на рехабилитационния режим в домашна обстановка по инструкции.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br w:type="page"/>
      </w:r>
      <w:r w:rsidRPr="00891D81">
        <w:rPr>
          <w:rFonts w:ascii="Arial" w:hAnsi="Arial" w:cs="Arial"/>
          <w:sz w:val="22"/>
          <w:szCs w:val="22"/>
          <w:lang w:val="bg-BG"/>
        </w:rPr>
        <w:lastRenderedPageBreak/>
        <w:t xml:space="preserve"> </w:t>
      </w:r>
    </w:p>
    <w:p w:rsidR="000F1F61" w:rsidRPr="00891D81" w:rsidRDefault="000F1F61" w:rsidP="000F1F61">
      <w:pPr>
        <w:keepNext/>
        <w:keepLines/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4. ДИАГНОСТИЧНО - ЛЕЧЕБЕН АЛГОРИТЪМ. </w:t>
      </w:r>
    </w:p>
    <w:p w:rsidR="000F1F61" w:rsidRPr="00891D81" w:rsidRDefault="000F1F61" w:rsidP="000F1F61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891D81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Всяка нова хоспитализация при РТ на ЦНС, която отговаря на някоя от индикациите за хоспитализация се отчита като нова клинична пътека.</w:t>
      </w:r>
    </w:p>
    <w:p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Допускат се до 12 повторни хоспитализации в рамките на една година при деца с РТ на ЦНС, но не повече от един път за един отчетен период.</w:t>
      </w:r>
    </w:p>
    <w:p w:rsidR="000F1F61" w:rsidRPr="00891D81" w:rsidRDefault="000F1F61" w:rsidP="000F1F61">
      <w:pPr>
        <w:widowControl w:val="0"/>
        <w:spacing w:before="40" w:line="280" w:lineRule="atLeast"/>
        <w:ind w:firstLine="540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 w:eastAsia="bg-BG"/>
        </w:rPr>
        <w:t>При деца от 0 до 18 месеца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Специализирана кинезитерапия (невро-развойни методики по Бобат и/или Войта), сензорно-интеграционна терапия (при необходимост), магнитно поле, електростимулации, хранителна и/или говорна терапия (при необходимост) медикаментозно лечение – антиепилептика (по преценка на лекаря специалист) и психостимуланти (при деца със забавена или липсваща идеомоторика). </w:t>
      </w:r>
    </w:p>
    <w:p w:rsidR="005A5D9F" w:rsidRPr="00891D81" w:rsidRDefault="005A5D9F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:rsidR="005A5D9F" w:rsidRPr="00317C3E" w:rsidRDefault="005A5D9F" w:rsidP="005A5D9F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891D81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317C3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317C3E" w:rsidRPr="00317C3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317C3E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5A5D9F" w:rsidRPr="00317C3E" w:rsidRDefault="005A5D9F" w:rsidP="000F1F61">
      <w:pPr>
        <w:spacing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:rsidR="005A5D9F" w:rsidRPr="00891D81" w:rsidRDefault="005A5D9F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5. ПОСТАВЯНЕ НА ОКОНЧАТЕЛНА ДИАГНОЗА.</w:t>
      </w:r>
    </w:p>
    <w:p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В периода след раждане се поставя диагноза родова травма на централна нервна система (РТ</w:t>
      </w:r>
      <w:r w:rsidRPr="00891D81">
        <w:rPr>
          <w:rFonts w:ascii="Arial" w:hAnsi="Arial" w:cs="Arial"/>
          <w:sz w:val="22"/>
          <w:szCs w:val="22"/>
          <w:lang w:val="ru-RU"/>
        </w:rPr>
        <w:t>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(съвместно с диагнозата “Специфично разстройство в развитието на двигателните функции (</w:t>
      </w:r>
      <w:r w:rsidRPr="00891D81">
        <w:rPr>
          <w:rFonts w:ascii="Arial" w:hAnsi="Arial" w:cs="Arial"/>
          <w:sz w:val="22"/>
          <w:szCs w:val="22"/>
          <w:lang w:val="en-US"/>
        </w:rPr>
        <w:t>F</w:t>
      </w:r>
      <w:r w:rsidRPr="00891D81">
        <w:rPr>
          <w:rFonts w:ascii="Arial" w:hAnsi="Arial" w:cs="Arial"/>
          <w:sz w:val="22"/>
          <w:szCs w:val="22"/>
          <w:lang w:val="ru-RU"/>
        </w:rPr>
        <w:t>82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по МКБ10) и “централно координационно смущение от 1 до 4 степен със спастична, атетоидна, атаксична, хипотонична или друга заплашеност), кореспондиращи с риска от развитие и фиксиране на диагнозата “детска церебрална парализа”.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0F1F61" w:rsidRPr="00891D81" w:rsidRDefault="000F1F61" w:rsidP="000F1F61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III</w:t>
      </w:r>
      <w:r w:rsidRPr="00891D81">
        <w:rPr>
          <w:rFonts w:ascii="Arial" w:hAnsi="Arial" w:cs="Arial"/>
          <w:b/>
          <w:noProof/>
          <w:sz w:val="22"/>
          <w:szCs w:val="22"/>
          <w:lang w:val="ru-RU"/>
        </w:rPr>
        <w:t xml:space="preserve">.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0F1F61" w:rsidRPr="00891D81" w:rsidRDefault="000F1F61" w:rsidP="000F1F61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обективни данни подобряване на двигателните умения, сравнени спрямо отговарящите на съответната му календарна възраст;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 - подобряване или поддържане на достигнатите двигателни функции, в зависимост от възрастта на детето и тежестта на РТЦНС;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условия;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0F1F61" w:rsidRPr="00891D81" w:rsidRDefault="000F1F61" w:rsidP="000F1F61">
      <w:pPr>
        <w:keepNext/>
        <w:keepLines/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snapToGrid w:val="0"/>
          <w:sz w:val="22"/>
          <w:szCs w:val="22"/>
          <w:lang w:val="bg-BG"/>
        </w:rPr>
      </w:pPr>
      <w:r w:rsidRPr="00891D81">
        <w:rPr>
          <w:rFonts w:ascii="Arial" w:hAnsi="Arial" w:cs="Arial"/>
          <w:b/>
          <w:snapToGrid w:val="0"/>
          <w:sz w:val="22"/>
          <w:szCs w:val="22"/>
          <w:lang w:val="bg-BG"/>
        </w:rPr>
        <w:t>Довършване на лечебния процес и проследяване</w:t>
      </w:r>
    </w:p>
    <w:p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F1F61" w:rsidRPr="00891D81" w:rsidRDefault="000F1F61" w:rsidP="000F1F61">
      <w:pPr>
        <w:ind w:firstLine="540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IV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. МЕДИЦИНСКА ЕКСПЕРТИЗА НА РАБОТОСПОСОБНОСТТА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F1F61" w:rsidRPr="00891D81" w:rsidRDefault="000F1F61" w:rsidP="000F1F61">
      <w:pPr>
        <w:spacing w:before="120" w:after="240" w:line="280" w:lineRule="atLeast"/>
        <w:jc w:val="both"/>
        <w:rPr>
          <w:rFonts w:ascii="Arial" w:hAnsi="Arial" w:cs="Arial"/>
          <w:b/>
          <w:caps/>
          <w:noProof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noProof/>
          <w:sz w:val="22"/>
          <w:szCs w:val="22"/>
          <w:lang w:val="en-US"/>
        </w:rPr>
        <w:t>V</w:t>
      </w:r>
      <w:r w:rsidRPr="00891D81">
        <w:rPr>
          <w:rFonts w:ascii="Arial" w:hAnsi="Arial" w:cs="Arial"/>
          <w:b/>
          <w:caps/>
          <w:noProof/>
          <w:sz w:val="22"/>
          <w:szCs w:val="22"/>
          <w:lang w:val="ru-RU"/>
        </w:rPr>
        <w:t xml:space="preserve">. </w:t>
      </w:r>
      <w:r w:rsidRPr="00891D81">
        <w:rPr>
          <w:rFonts w:ascii="Arial" w:hAnsi="Arial" w:cs="Arial"/>
          <w:b/>
          <w:caps/>
          <w:noProof/>
          <w:sz w:val="22"/>
          <w:szCs w:val="22"/>
          <w:u w:val="single"/>
          <w:lang w:val="ru-RU"/>
        </w:rPr>
        <w:t>Документиране на дейностите по клиничната пътека</w:t>
      </w:r>
    </w:p>
    <w:p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1.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ХОСПИТАЛИЗАЦИЯТА НА ПАЦИЕНТА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се документира в “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История на заболяването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” (ИЗ) и в част 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№7.</w:t>
      </w:r>
    </w:p>
    <w:p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0F1F61" w:rsidRPr="00891D81" w:rsidRDefault="000F1F61" w:rsidP="000F1F61">
      <w:pPr>
        <w:keepNext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2.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ДОКУМЕНТИРАНЕ НА ДИАГНОСТИЧНО - ЛЕЧЕБНИЯ АЛГОРИТЪМ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в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 xml:space="preserve"> “История на заболяването”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и във физиопроцедурна карта (бл. МЗ № 509-89), която е неразделна част от ИЗ.</w:t>
      </w:r>
    </w:p>
    <w:p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3. ИЗПИСВАНЕТО/ПРЕВЕЖДАНЕТО КЪМ ДРУГО ЛЕЧЕБНО ЗАВЕДЕНИЕ СЕ ДОКУМЕНТИРА В: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i/>
          <w:sz w:val="22"/>
          <w:szCs w:val="22"/>
          <w:lang w:val="bg-BG"/>
        </w:rPr>
      </w:pPr>
      <w:r w:rsidRPr="00891D81">
        <w:rPr>
          <w:rFonts w:ascii="Arial" w:hAnsi="Arial" w:cs="Arial"/>
          <w:i/>
          <w:sz w:val="22"/>
          <w:szCs w:val="22"/>
          <w:lang w:val="bg-BG"/>
        </w:rPr>
        <w:t>-</w:t>
      </w:r>
      <w:r w:rsidRPr="00891D81">
        <w:rPr>
          <w:rFonts w:ascii="Arial" w:hAnsi="Arial" w:cs="Arial"/>
          <w:i/>
          <w:sz w:val="22"/>
          <w:szCs w:val="22"/>
          <w:lang w:val="bg-BG"/>
        </w:rPr>
        <w:tab/>
        <w:t>“История на заболяването”;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 xml:space="preserve">част ІІІ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</w:t>
      </w:r>
      <w:r w:rsidRPr="00891D81">
        <w:rPr>
          <w:rFonts w:ascii="Arial" w:hAnsi="Arial" w:cs="Arial"/>
          <w:sz w:val="22"/>
          <w:szCs w:val="22"/>
          <w:lang w:val="bg-BG"/>
        </w:rPr>
        <w:t>;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>епикриза – получава се срещу подпис на пациента (родителя/настойника), отразен в ИЗ.</w:t>
      </w:r>
    </w:p>
    <w:p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ru-RU"/>
        </w:rPr>
        <w:t>4</w:t>
      </w:r>
      <w:r w:rsidRPr="00891D81">
        <w:rPr>
          <w:rFonts w:ascii="Arial" w:hAnsi="Arial" w:cs="Arial"/>
          <w:b/>
          <w:sz w:val="22"/>
          <w:szCs w:val="22"/>
          <w:lang w:val="bg-BG"/>
        </w:rPr>
        <w:t>.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 ДЕКЛАРАЦИЯ ЗА ИНФОРМИРАНО СЪГЛАСИЕ (Документ)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– подписва от пациента (родителя/настойника) и е неразделна част от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“История на заболяването”.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0F1F61" w:rsidRPr="00891D8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0F1F61" w:rsidRPr="00891D81" w:rsidRDefault="000F1F61" w:rsidP="000F1F61">
      <w:pPr>
        <w:spacing w:line="280" w:lineRule="atLeast"/>
        <w:ind w:firstLine="360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ru-RU"/>
        </w:rPr>
        <w:br w:type="page"/>
      </w:r>
    </w:p>
    <w:p w:rsidR="000F1F61" w:rsidRPr="00891D81" w:rsidRDefault="000F1F61" w:rsidP="000F1F61">
      <w:pPr>
        <w:tabs>
          <w:tab w:val="left" w:pos="540"/>
        </w:tabs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lastRenderedPageBreak/>
        <w:t>ДОКУМЕНТ № 4</w:t>
      </w:r>
    </w:p>
    <w:p w:rsidR="000F1F61" w:rsidRPr="00891D81" w:rsidRDefault="000F1F61" w:rsidP="000F1F61">
      <w:pPr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</w:p>
    <w:p w:rsidR="000F1F61" w:rsidRPr="00891D81" w:rsidRDefault="000F1F61" w:rsidP="000F1F61">
      <w:pPr>
        <w:spacing w:before="120" w:after="240" w:line="280" w:lineRule="atLeast"/>
        <w:jc w:val="center"/>
        <w:rPr>
          <w:rFonts w:ascii="Arial" w:hAnsi="Arial" w:cs="Arial"/>
          <w:b/>
          <w:bCs/>
          <w:caps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t>ИНФОРМАЦИЯ ЗА родителя /настойника/Попечителя</w:t>
      </w:r>
    </w:p>
    <w:p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 w:eastAsia="bg-BG"/>
        </w:rPr>
        <w:t xml:space="preserve"> 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Родовата травма на централна нервна система (РТЦНС)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включва състояния като хипоксия на плода и новороденото (хипоксично-исхемичната енцефалопатия) и вътречерепната мозъчна травма (вътречерепни мозъчни кръвоизливи – субдурални, субарахноидални, интравентрикуларни, субепендимни, множествени).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Предразположени към РТЦНС са новородени деца с: недоносеност, ниско тегло за възрастта, асфиксия, тежка жълтеница, оценка по Апгар на 1</w:t>
      </w:r>
      <w:r w:rsidRPr="00891D81">
        <w:rPr>
          <w:rFonts w:ascii="Arial" w:hAnsi="Arial" w:cs="Arial"/>
          <w:sz w:val="22"/>
          <w:szCs w:val="22"/>
          <w:vertAlign w:val="superscript"/>
          <w:lang w:val="bg-BG"/>
        </w:rPr>
        <w:t>ва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мин. под 5, мозъчен оток, нарушено маточно-плацентарно кръвообращение от други причини.</w:t>
      </w:r>
    </w:p>
    <w:p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РТЦНС е преходно състояние. След овладяване на животозастрашаващото състояние на новороденото и изписването му от интензивна структура на отделението за новородени, то трябва да бъде насочено за проследяване на двигателното му развитие и хранителните му способности от лекар-специалист по физикална и рехабилитационна медицина (ФРМ) или детски невролог.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Най-отговорен е процесът на ранната диагностика още в първото тримесечие и включването на адекватна комплексна рехабилитация. При закъснение на рехабилитацията често пъти се стига до развитие на Детска Церебрална Парализа (ДЦП), която обрича детето на различни по тежест и форма инвалидности. Забавянето на диагностиката и съответната поливалентна рехабилитация, води след себе си до значително оскъпяване на последващата рехабилитационна програма при ДЦП, както и до влошаване на прогнозата за пълното двигателно възстановяв</w:t>
      </w:r>
      <w:r w:rsidRPr="000F1F61">
        <w:rPr>
          <w:rFonts w:ascii="Arial" w:hAnsi="Arial" w:cs="Arial"/>
          <w:sz w:val="22"/>
          <w:szCs w:val="22"/>
          <w:lang w:val="bg-BG"/>
        </w:rPr>
        <w:t>ане на детето.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В този ранен етап от развитието на новороденото, лекарят 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Рехабилитационните дейности са насочени към стимулиране на мозъчния метаболизъм и кръвоток, активиране и координиране на общата двигателната активност и автоматизиране на хранителните процеси.</w:t>
      </w:r>
    </w:p>
    <w:p w:rsidR="001002ED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осигурява комплексност, поливалентност и етапност в рехабилитацията на РТЦНС, което се реализира чрез екип от специалисти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  <w:r w:rsidR="001002ED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създава реални условия за снижаване процента на тежка инвалидизация на тези деца, като им се дава възможност за пълно излекуване.</w:t>
      </w:r>
    </w:p>
    <w:sectPr w:rsidR="000F1F61" w:rsidRPr="000F1F61" w:rsidSect="006831F7">
      <w:footerReference w:type="even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1F4" w:rsidRDefault="00E701F4">
      <w:r>
        <w:separator/>
      </w:r>
    </w:p>
  </w:endnote>
  <w:endnote w:type="continuationSeparator" w:id="0">
    <w:p w:rsidR="00E701F4" w:rsidRDefault="00E7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4F" w:rsidRDefault="00FA0BB7" w:rsidP="003336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744F" w:rsidRDefault="00E70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1F4" w:rsidRDefault="00E701F4">
      <w:r>
        <w:separator/>
      </w:r>
    </w:p>
  </w:footnote>
  <w:footnote w:type="continuationSeparator" w:id="0">
    <w:p w:rsidR="00E701F4" w:rsidRDefault="00E70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30"/>
    <w:rsid w:val="00035B08"/>
    <w:rsid w:val="000516C2"/>
    <w:rsid w:val="00066EEA"/>
    <w:rsid w:val="000767ED"/>
    <w:rsid w:val="00085FBF"/>
    <w:rsid w:val="00090DBD"/>
    <w:rsid w:val="000C19C4"/>
    <w:rsid w:val="000F1F61"/>
    <w:rsid w:val="001002ED"/>
    <w:rsid w:val="00110106"/>
    <w:rsid w:val="00162175"/>
    <w:rsid w:val="0023025E"/>
    <w:rsid w:val="002B09B4"/>
    <w:rsid w:val="003039B4"/>
    <w:rsid w:val="00317C3E"/>
    <w:rsid w:val="003852CC"/>
    <w:rsid w:val="003C2809"/>
    <w:rsid w:val="004072BB"/>
    <w:rsid w:val="0044144D"/>
    <w:rsid w:val="00443233"/>
    <w:rsid w:val="004C14E7"/>
    <w:rsid w:val="004D72D0"/>
    <w:rsid w:val="005A2BD1"/>
    <w:rsid w:val="005A5D9F"/>
    <w:rsid w:val="005B3DBF"/>
    <w:rsid w:val="006535BA"/>
    <w:rsid w:val="006940AA"/>
    <w:rsid w:val="006B366D"/>
    <w:rsid w:val="006D7A0C"/>
    <w:rsid w:val="006E4543"/>
    <w:rsid w:val="00704427"/>
    <w:rsid w:val="00723370"/>
    <w:rsid w:val="007E09F8"/>
    <w:rsid w:val="007F3908"/>
    <w:rsid w:val="00832E72"/>
    <w:rsid w:val="00866309"/>
    <w:rsid w:val="0088554E"/>
    <w:rsid w:val="00891D81"/>
    <w:rsid w:val="008B7AAE"/>
    <w:rsid w:val="008D51A3"/>
    <w:rsid w:val="009658B0"/>
    <w:rsid w:val="00A21778"/>
    <w:rsid w:val="00A61C9E"/>
    <w:rsid w:val="00B650D5"/>
    <w:rsid w:val="00B744D3"/>
    <w:rsid w:val="00B97CAE"/>
    <w:rsid w:val="00BA5A10"/>
    <w:rsid w:val="00D36FB3"/>
    <w:rsid w:val="00D42D52"/>
    <w:rsid w:val="00D86B2A"/>
    <w:rsid w:val="00D95C84"/>
    <w:rsid w:val="00DB2633"/>
    <w:rsid w:val="00DD48D2"/>
    <w:rsid w:val="00E15885"/>
    <w:rsid w:val="00E35FAD"/>
    <w:rsid w:val="00E42984"/>
    <w:rsid w:val="00E701F4"/>
    <w:rsid w:val="00EA020C"/>
    <w:rsid w:val="00EA3400"/>
    <w:rsid w:val="00F24D30"/>
    <w:rsid w:val="00F70D70"/>
    <w:rsid w:val="00F82B88"/>
    <w:rsid w:val="00FA0BB7"/>
    <w:rsid w:val="00FD1893"/>
    <w:rsid w:val="00FD275B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2"/>
      <w:szCs w:val="22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2"/>
      <w:szCs w:val="22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6808D-56B0-4455-8364-49C8448F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39</cp:revision>
  <dcterms:created xsi:type="dcterms:W3CDTF">2017-01-06T09:57:00Z</dcterms:created>
  <dcterms:modified xsi:type="dcterms:W3CDTF">2020-09-14T09:58:00Z</dcterms:modified>
</cp:coreProperties>
</file>