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8B" w:rsidRDefault="009E5F8B" w:rsidP="0030357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30357A" w:rsidRPr="00FB6587" w:rsidRDefault="00C724BE" w:rsidP="0030357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30357A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30357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 болничен престой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C724BE">
        <w:rPr>
          <w:rFonts w:ascii="Arial" w:eastAsia="Times New Roman" w:hAnsi="Arial" w:cs="Times New Roman"/>
          <w:b/>
        </w:rPr>
        <w:t xml:space="preserve">ПО </w:t>
      </w:r>
      <w:r w:rsidRPr="00C724BE">
        <w:rPr>
          <w:rFonts w:ascii="Arial" w:eastAsia="Times New Roman" w:hAnsi="Arial" w:cs="Times New Roman"/>
          <w:b/>
          <w:highlight w:val="yellow"/>
        </w:rPr>
        <w:t>МКБ-9 КМ</w:t>
      </w:r>
      <w:r w:rsidRPr="00C724BE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532750">
        <w:trPr>
          <w:jc w:val="center"/>
        </w:trPr>
        <w:tc>
          <w:tcPr>
            <w:tcW w:w="9412" w:type="dxa"/>
          </w:tcPr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>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*88.76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корем и ретроперитонеум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контрастна ехография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</w:t>
            </w:r>
            <w:r w:rsidRPr="00C724BE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/или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ендоскопска ехография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или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 интервенционална ехография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Терапевтичен ултразвук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00.09  друг терапевтичен ултразвук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невролиза на трункус целиакус и други терапевтични процедури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ултразвуково фрагментиране на уринарни камъни(59.95)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перкутанна нефростомия с фрагментация(55.04)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друга топлинна терапия(93.35)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трансуретрална (ултразвуков контрол) лазерна простатектомия(60.21)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 с използване на агенти, некласифицирани другаде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532750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 xml:space="preserve"> 45.30  ендоскопска ексцизия или деструкция на лезия на дуоденум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3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Папила Фатери и перипапиларно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ЖЛЪЧНИТЕ ПЪТИЩА ИЛИ СФИНКТЕРА НА ODDI</w:t>
            </w:r>
          </w:p>
          <w:p w:rsidR="00162E2F" w:rsidRPr="00C724BE" w:rsidRDefault="00162E2F" w:rsidP="00532750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кодирай също друга анастомоза, освен тази край-с-край - 51.31, 51.36-51.39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жлъчен проток - 51.12-51.13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*** 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51.64  ендоскопска ексцизия или деструкция на лезия на жлъчните пътища или сфинктера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лезии на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друго инжектиране на лечебна субстанция в ЧЕРен дроб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Процедури за приложение, поставяне или премахване върху черен дроб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***50.11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 на черния дроб и радиоизотопно функционално изследване - 92.02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 на проба от черния дроб - 91.01-91.09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Ексцизионни процедури на черен дроб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освобождаване на адхезии - 54.5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***50.91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перкутанна аспирация от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аспирация на огнищна лезия на черен дроб – аспирация; лаваж на абсцес;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lang w:val="en-US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- 50.11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инцизионни процедури на корем, перитонеум или оментум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ЧЕРНОДРОБНА ТЪКАН ИЛИ ЛЕЗИЯ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50.29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ЧЕРен дроб – радиофреквентна аблация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локално лечение – аблативни техники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локорегионално лечение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Евакуация на чернодробна лезия – разпад, абсцеси и /или течни колекции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лезия – 50.91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процедури на черен дроб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 лазерна аблация на чернодробен тумор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ХОЛЕЦИСТОТОМИЯ И ХОЛЕЦИСТОСТОМИЯ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аспирация от жлъчния мехур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холецистотомия при дренаж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такава с: игла или катетър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иглена биопсия - 51.12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процедури за приложение, поставяне или премахване върху жлъчен мехур</w:t>
            </w: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жлъчния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ендоскопските процедури, включени в 51.64, 51.84-51.88, 52.14, 52.21, 52.93-52.94, 52.97-52.98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51.10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Изследване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РЕНТГЕНОВО ИЗСЛЕДВАНЕ НА ЖЛЪЧНИ ПЪТИЩА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***87.51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чернодробна холангиография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холангиография (ERC)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изследване на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***51.12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перкутанна биопсия на жлъчен мехур или жлъчните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Иглена биопсия на жлъчен мехур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затворена (ендоскопска) биопсия на жлъчен проток или сфинктер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жлъчен проток или сфинктер на Oddi чрез процедурите,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4"/>
                <w:highlight w:val="yellow"/>
                <w:u w:val="single"/>
              </w:rPr>
              <w:t>Д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РУГИ ОПЕРАЦИИ НА ЖЛЪЧНИТЕ ПЪТИЩА И СФИНКТЕРА НА ODDI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ампулата или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ампулата и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***51.03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холецистостомия – перкутанна холецистостома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51.85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сфинктеротомия и папилотомия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сфинктеротомия и папилотомия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камък (камъни) от жлъчен тракт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екстракция на камъни от общия жлъчен проток - 51.96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51.86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назо-билиарна дренажна тръба (сонда)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назо-билиарна тръба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ендопротеза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стент в жлъчен проток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Назо-билиарна дренажна тръба - 51.86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назобилиарна сонда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ЖЛЪЧНИЯ тракт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други перкутанни процедури върху жлъчния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жлъчна ендоскопия през съществуващ Т-дрен или по друг път за: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дилатация на стриктура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експлорация (постоперативна)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отстраняване на камъни, освен от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перкутанен трансхепатален жлъчен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жлъчния мехур - 51.01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и/или взимане на проба с четка или промивка - 51.12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перкутанно отстраняване на камъни от общия жлъчен проток - 51.96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(аспирационна) (иглена) (перкутанна) биопсия на панкреас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Биопсия на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панкреатография (ERP)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>такива за процедури, класирани в 51.14-51.15, 51.64, 51.84-51.88, 52.14, 52.21, 52.92-52.94, 52.97-52.98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Изследване на панкреаса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(ендоскопска) биопсия на панкреасен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панкреасен проток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ПАНКРЕАС И панкреасен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панкреас - 52.11-52.12, 52.14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панкреасна фистулектомия - 52.95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52.21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ексцизия или деструкция на лезия или тъкан от панкреасен проток</w:t>
            </w: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лезия или тъкан на панкреасен проток чрез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532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канюла, или стент в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ендоскопско поставяне на назо-панкреасна дренажна тръба - 52.97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назо-панкреасна дренажна тръба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назо-панкреасна дренажна тръба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дренаж на панкреасна киста с катетър - 52.01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панкреасния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протока на Wirsung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камъни от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В КОРЕМНАТА област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54.23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биопсия на 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мезентериум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оментум – 54.24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перитонеум – 54.24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Биопсия на корем, перитонеум или оментум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мезентериум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***54.24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вътрекоремна маса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ind w:firstLine="74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включва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 диагностични и/или терапевтични манипулации под ехографски контрол – субфренични, субхепатални, интраабдоминални колекции; локално лечение на панкреасни кисти </w:t>
            </w:r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и/или перипанкреасни  изливи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; и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тази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ab/>
              <w:t>фалопиева тръба - 66.11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яйчник - 65.11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маточни лигаменти - 68.15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матка - 68.16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КАТ скениране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холангиография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ЕКГ на плод - 75.32</w:t>
            </w:r>
          </w:p>
          <w:p w:rsidR="00B56C1D" w:rsidRPr="009D3B83" w:rsidRDefault="00B56C1D" w:rsidP="00B56C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еритроцити, левкоцити, хематокрит, тромбоцити,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НА ПРОБА ОТ ЧЕРЕН ДРОБ, ЖЛЪЧЕН ПЪТ И ПАНКРЕАС 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91.19 ПАТОМОРФОЛОГИЧНО ИЗСЛЕДВАНЕ НА ПЕРИТОНЕАЛНА И  РЕТРОПЕРИТОНЕАЛНА ПРОБА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перитонеална и/или ретроперитонеална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51AC2" w:rsidRDefault="00A51AC2" w:rsidP="00A51AC2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A51AC2" w:rsidRDefault="00A51AC2" w:rsidP="00A51AC2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A51AC2" w:rsidRDefault="00A51AC2" w:rsidP="00A51AC2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A51AC2" w:rsidRDefault="00A51AC2" w:rsidP="00A51AC2"/>
          <w:p w:rsidR="00A51AC2" w:rsidRDefault="00A51AC2" w:rsidP="00A51AC2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>* 99.04</w:t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ru-RU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*99.08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   трансфузия на кръвозаместител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друга субстанция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гранулоцити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противоракова субстанция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B56C1D" w:rsidRPr="009D3B83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една високоспециализирана интервенционална процедура, три </w:t>
      </w:r>
      <w:r w:rsidRPr="009D3B83">
        <w:rPr>
          <w:rFonts w:ascii="Arial" w:eastAsia="Times New Roman" w:hAnsi="Arial" w:cs="Times New Roman"/>
          <w:szCs w:val="24"/>
        </w:rPr>
        <w:t xml:space="preserve">основни диагностични задължително: </w:t>
      </w:r>
      <w:r w:rsidRPr="009D3B83">
        <w:rPr>
          <w:rFonts w:ascii="Arial" w:eastAsia="Times New Roman" w:hAnsi="Arial" w:cs="Times New Roman"/>
          <w:szCs w:val="20"/>
          <w:lang w:val="ru-RU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9D3B83">
        <w:rPr>
          <w:rFonts w:ascii="Arial" w:eastAsia="Times New Roman" w:hAnsi="Arial" w:cs="Times New Roman"/>
          <w:szCs w:val="20"/>
        </w:rPr>
        <w:t xml:space="preserve"> 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9D3B8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9D3B8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9D3B83">
        <w:rPr>
          <w:rFonts w:ascii="Arial" w:eastAsia="Times New Roman" w:hAnsi="Arial" w:cs="Times New Roman"/>
          <w:szCs w:val="20"/>
          <w:lang w:val="ru-RU"/>
        </w:rPr>
        <w:t>/11700-00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;</w:t>
      </w:r>
      <w:r w:rsidRPr="009D3B83">
        <w:rPr>
          <w:rFonts w:ascii="Arial" w:eastAsia="Times New Roman" w:hAnsi="Arial" w:cs="Times New Roman"/>
          <w:szCs w:val="20"/>
          <w:highlight w:val="yellow"/>
        </w:rPr>
        <w:t xml:space="preserve"> </w:t>
      </w:r>
      <w:r w:rsidRPr="009D3B83">
        <w:rPr>
          <w:rFonts w:ascii="Arial" w:eastAsia="Times New Roman" w:hAnsi="Arial" w:cs="Times New Roman"/>
          <w:szCs w:val="20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</w:rPr>
        <w:t>90.59</w:t>
      </w:r>
      <w:r w:rsidRPr="009D3B83">
        <w:rPr>
          <w:rFonts w:ascii="Arial" w:eastAsia="Times New Roman" w:hAnsi="Arial" w:cs="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9D3B83">
        <w:rPr>
          <w:rFonts w:ascii="Arial" w:eastAsia="Times New Roman" w:hAnsi="Arial" w:cs="Arial"/>
          <w:szCs w:val="20"/>
        </w:rPr>
        <w:t xml:space="preserve">Включва задължително извършване на целия </w:t>
      </w:r>
      <w:r w:rsidRPr="009D3B83">
        <w:rPr>
          <w:rFonts w:ascii="Arial" w:eastAsia="Times New Roman" w:hAnsi="Arial" w:cs="Arial"/>
          <w:szCs w:val="20"/>
        </w:rPr>
        <w:lastRenderedPageBreak/>
        <w:t>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 </w:t>
      </w:r>
      <w:r w:rsidRPr="009D3B83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**91.09</w:t>
      </w:r>
      <w:r w:rsidRPr="009D3B83">
        <w:rPr>
          <w:rFonts w:ascii="Arial" w:eastAsia="Times New Roman" w:hAnsi="Arial" w:cs="Times New Roman"/>
          <w:szCs w:val="24"/>
        </w:rPr>
        <w:t xml:space="preserve">/91930-07 и/или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**91.19</w:t>
      </w:r>
      <w:r w:rsidRPr="009D3B83">
        <w:rPr>
          <w:rFonts w:ascii="Arial" w:eastAsia="Times New Roman" w:hAnsi="Arial" w:cs="Times New Roman"/>
          <w:szCs w:val="24"/>
        </w:rPr>
        <w:t>/91931-06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B56C1D" w:rsidRPr="003F3116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*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99.21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3F3116" w:rsidRPr="003F3116" w:rsidRDefault="003F3116" w:rsidP="003F311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szCs w:val="24"/>
        </w:rPr>
        <w:br w:type="page"/>
      </w:r>
      <w:r w:rsidRPr="00C724BE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565BC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F565BC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565BC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565BC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724BE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724BE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за </w:t>
      </w:r>
      <w:r w:rsidRPr="00C724BE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C724BE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C724BE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30357A" w:rsidRDefault="00C724BE" w:rsidP="0030357A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Клиника/отделение по детска гастроентерология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F565BC" w:rsidRDefault="00C724BE" w:rsidP="00F565BC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565BC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5BC" w:rsidRPr="00C724BE" w:rsidRDefault="00F565BC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Структура по образна диагностика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C724BE" w:rsidRPr="00C724BE" w:rsidRDefault="00C724BE" w:rsidP="00C724BE">
      <w:pPr>
        <w:spacing w:after="0" w:line="240" w:lineRule="auto"/>
        <w:ind w:left="851" w:hanging="28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C724BE" w:rsidRPr="00C724BE" w:rsidRDefault="00C724BE" w:rsidP="00C724BE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или</w:t>
      </w:r>
    </w:p>
    <w:p w:rsidR="00C724BE" w:rsidRDefault="00C724BE" w:rsidP="00C724BE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>лекар със специалност по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 – минимум двама.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trike/>
          <w:color w:val="00000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При анамнеза от страна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 екстрактор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Кошница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 ендопротеза за панкреаса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остри и хронични обострени заболявания на хепатобилиарната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заболявания на хепатобилиарната система, панкреаса и перитонеума в детската възраст.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извънболнична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lastRenderedPageBreak/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3. Абдоминална ехография, КТ, МРТ. При показания: доплерово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- ендоскопска папилоскопия с или без вземане на материал за хистологично (цитологично) изследване (ендоскопска биопсия, четкова или друга цитология) в 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i/>
          <w:szCs w:val="20"/>
        </w:rPr>
        <w:t>Ендоскопска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с или без тънкоиглена/аспирационна биопсия, доплер-ехография на огнищни лезии (панк</w:t>
      </w:r>
      <w:r w:rsidR="00A74EBD">
        <w:rPr>
          <w:rFonts w:ascii="Arial" w:eastAsia="Times New Roman" w:hAnsi="Arial" w:cs="Times New Roman"/>
          <w:szCs w:val="20"/>
        </w:rPr>
        <w:t>реас, папила, дистален холедох)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r w:rsidRPr="00C724BE">
        <w:rPr>
          <w:rFonts w:ascii="Arial" w:eastAsia="Times New Roman" w:hAnsi="Arial" w:cs="Times New Roman"/>
          <w:szCs w:val="20"/>
        </w:rPr>
        <w:t xml:space="preserve"> и перипанкреасната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Vateri</w:t>
      </w:r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Oddi</w:t>
      </w:r>
      <w:r w:rsidRPr="00C724BE">
        <w:rPr>
          <w:rFonts w:ascii="Arial" w:eastAsia="Times New Roman" w:hAnsi="Arial" w:cs="Arial"/>
          <w:szCs w:val="20"/>
        </w:rPr>
        <w:t xml:space="preserve"> и достигаеми части на жлъчните пътища чрез ендоскопска мукозна резекция, аргон-плазмена или лазерна (</w:t>
      </w:r>
      <w:r w:rsidRPr="00C724BE">
        <w:rPr>
          <w:rFonts w:ascii="Arial" w:eastAsia="Times New Roman" w:hAnsi="Arial" w:cs="Arial"/>
          <w:szCs w:val="20"/>
          <w:lang w:val="en-US"/>
        </w:rPr>
        <w:t>Nd</w:t>
      </w:r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фотодинамична терапия и други ендоскопски методи – радикално или палиативно лечение на тумори (ендоскопска туморна реканализация): на диспластични или метапластични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r w:rsidRPr="00C724BE">
        <w:rPr>
          <w:rFonts w:ascii="Arial" w:eastAsia="Times New Roman" w:hAnsi="Arial" w:cs="Arial"/>
          <w:szCs w:val="20"/>
          <w:lang w:val="en-US"/>
        </w:rPr>
        <w:t>Ascaris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r w:rsidRPr="00C724BE">
        <w:rPr>
          <w:rFonts w:ascii="Arial" w:eastAsia="Times New Roman" w:hAnsi="Arial" w:cs="Arial"/>
          <w:szCs w:val="20"/>
        </w:rPr>
        <w:t xml:space="preserve">), директно, чрез назобилиарен или хидростатичен катетър, кошничка на Дормия след промиване с етер, солев р-р или </w:t>
      </w:r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r w:rsidRPr="00C724BE">
        <w:rPr>
          <w:rFonts w:ascii="Arial" w:eastAsia="Times New Roman" w:hAnsi="Arial" w:cs="Times New Roman"/>
          <w:szCs w:val="20"/>
        </w:rPr>
        <w:t xml:space="preserve"> (невролиза) за контрол на болката при хроничен панкреатит (рефрактерна на високи дози наркотични аналгетици); палиативно лечение на болката при малигнено заболяване на панкреас (неоперабилен рак и липса на обезболяване от наркотични аналгетици),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други.</w:t>
      </w:r>
    </w:p>
    <w:p w:rsidR="00C724BE" w:rsidRPr="002E3AA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C724BE">
        <w:rPr>
          <w:rFonts w:ascii="Arial" w:eastAsia="Times New Roman" w:hAnsi="Arial" w:cs="Times New Roman"/>
          <w:snapToGrid w:val="0"/>
          <w:szCs w:val="20"/>
        </w:rPr>
        <w:lastRenderedPageBreak/>
        <w:t xml:space="preserve">При </w:t>
      </w:r>
      <w:r w:rsidRPr="002E3AAE">
        <w:rPr>
          <w:rFonts w:ascii="Arial" w:eastAsia="Times New Roman" w:hAnsi="Arial" w:cs="Times New Roman"/>
          <w:snapToGrid w:val="0"/>
          <w:szCs w:val="20"/>
        </w:rPr>
        <w:t xml:space="preserve">индикации, неповлияване или възникнали усложнения се обсъжда </w:t>
      </w:r>
      <w:r w:rsidRPr="002E3AAE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2E3AAE">
        <w:rPr>
          <w:rFonts w:ascii="Arial" w:eastAsia="Times New Roman" w:hAnsi="Arial" w:cs="Times New Roman"/>
          <w:snapToGrid w:val="0"/>
          <w:szCs w:val="20"/>
        </w:rPr>
        <w:t>.</w:t>
      </w:r>
    </w:p>
    <w:p w:rsidR="00501527" w:rsidRDefault="00501527" w:rsidP="002E3AA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2E3AAE" w:rsidRPr="00E3123E" w:rsidRDefault="002E3AAE" w:rsidP="002E3AA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E3AAE">
        <w:rPr>
          <w:rFonts w:ascii="Arial" w:eastAsia="Calibri" w:hAnsi="Arial" w:cs="Arial"/>
          <w:b/>
        </w:rPr>
        <w:t xml:space="preserve">Здравни грижи, </w:t>
      </w:r>
      <w:r w:rsidRPr="00E3123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3123E" w:rsidRPr="00E3123E">
        <w:rPr>
          <w:rFonts w:ascii="Arial" w:eastAsia="Calibri" w:hAnsi="Arial" w:cs="Arial"/>
        </w:rPr>
        <w:t>по назначение или самостоятелно</w:t>
      </w:r>
      <w:r w:rsidRPr="00E3123E">
        <w:rPr>
          <w:rFonts w:ascii="Arial" w:eastAsia="Calibri" w:hAnsi="Arial" w:cs="Arial"/>
          <w:lang w:val="x-none"/>
        </w:rPr>
        <w:t>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2E3AA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2E3AA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2E3AAE">
        <w:rPr>
          <w:rFonts w:ascii="Arial" w:eastAsia="Times New Roman" w:hAnsi="Arial" w:cs="Times New Roman"/>
          <w:b/>
          <w:szCs w:val="20"/>
        </w:rPr>
        <w:t>.</w:t>
      </w:r>
    </w:p>
    <w:p w:rsidR="00C724BE" w:rsidRPr="002E3AA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2E3AAE">
        <w:rPr>
          <w:rFonts w:ascii="Arial" w:eastAsia="Times New Roman" w:hAnsi="Arial" w:cs="Times New Roman"/>
          <w:szCs w:val="20"/>
        </w:rPr>
        <w:t>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2E3AA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E3AAE">
        <w:rPr>
          <w:rFonts w:ascii="Arial" w:eastAsia="Times New Roman" w:hAnsi="Arial" w:cs="Times New Roman"/>
          <w:szCs w:val="20"/>
        </w:rPr>
        <w:t>- лечение на усложненията</w:t>
      </w:r>
      <w:r w:rsidRPr="00C724BE">
        <w:rPr>
          <w:rFonts w:ascii="Arial" w:eastAsia="Times New Roman" w:hAnsi="Arial" w:cs="Times New Roman"/>
          <w:szCs w:val="20"/>
        </w:rPr>
        <w:t xml:space="preserve">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545FF" w:rsidRPr="004545FF" w:rsidRDefault="004545FF" w:rsidP="004545F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4545FF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E3123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C724BE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162E2F"/>
    <w:rsid w:val="001A0777"/>
    <w:rsid w:val="001A7ED9"/>
    <w:rsid w:val="002B6F28"/>
    <w:rsid w:val="002E3AAE"/>
    <w:rsid w:val="0030357A"/>
    <w:rsid w:val="003F3116"/>
    <w:rsid w:val="00430650"/>
    <w:rsid w:val="004545FF"/>
    <w:rsid w:val="00501527"/>
    <w:rsid w:val="005901BF"/>
    <w:rsid w:val="005E4311"/>
    <w:rsid w:val="007379DA"/>
    <w:rsid w:val="007770AA"/>
    <w:rsid w:val="00881599"/>
    <w:rsid w:val="0098261C"/>
    <w:rsid w:val="009D3CED"/>
    <w:rsid w:val="009E5F8B"/>
    <w:rsid w:val="00A00AC0"/>
    <w:rsid w:val="00A51AC2"/>
    <w:rsid w:val="00A6025A"/>
    <w:rsid w:val="00A74EBD"/>
    <w:rsid w:val="00AB1AB8"/>
    <w:rsid w:val="00B0367A"/>
    <w:rsid w:val="00B56C1D"/>
    <w:rsid w:val="00C724BE"/>
    <w:rsid w:val="00C9268C"/>
    <w:rsid w:val="00D9783D"/>
    <w:rsid w:val="00DF316B"/>
    <w:rsid w:val="00E3123E"/>
    <w:rsid w:val="00E71BB3"/>
    <w:rsid w:val="00ED3011"/>
    <w:rsid w:val="00F565B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3F3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6912</Words>
  <Characters>39404</Characters>
  <Application>Microsoft Office Word</Application>
  <DocSecurity>0</DocSecurity>
  <Lines>328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18</cp:revision>
  <dcterms:created xsi:type="dcterms:W3CDTF">2019-05-17T08:03:00Z</dcterms:created>
  <dcterms:modified xsi:type="dcterms:W3CDTF">2021-01-06T13:21:00Z</dcterms:modified>
</cp:coreProperties>
</file>